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3"/>
        <w:gridCol w:w="4926"/>
      </w:tblGrid>
      <w:tr w:rsidR="00A160B2" w14:paraId="3E9231EB" w14:textId="77777777" w:rsidTr="00CD040F">
        <w:trPr>
          <w:tblHeader/>
        </w:trPr>
        <w:tc>
          <w:tcPr>
            <w:tcW w:w="3383"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6" w:type="dxa"/>
            <w:tcBorders>
              <w:bottom w:val="single" w:sz="18" w:space="0" w:color="auto"/>
            </w:tcBorders>
          </w:tcPr>
          <w:p w14:paraId="4E43095A" w14:textId="77777777" w:rsidR="00A160B2" w:rsidRDefault="00CD040F" w:rsidP="006C3150">
            <w:pPr>
              <w:pStyle w:val="Heading1"/>
              <w:outlineLvl w:val="0"/>
            </w:pPr>
            <w:r>
              <w:t>Chief Officer Employment Panel</w:t>
            </w:r>
          </w:p>
          <w:p w14:paraId="55A88F66" w14:textId="1B6D6186" w:rsidR="00CB38E7" w:rsidRPr="00CB38E7" w:rsidRDefault="00CB38E7" w:rsidP="00CB38E7"/>
        </w:tc>
      </w:tr>
      <w:tr w:rsidR="00A160B2" w14:paraId="5281F5A9" w14:textId="77777777" w:rsidTr="00CD040F">
        <w:tc>
          <w:tcPr>
            <w:tcW w:w="3383"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6" w:type="dxa"/>
            <w:tcBorders>
              <w:top w:val="single" w:sz="18" w:space="0" w:color="auto"/>
            </w:tcBorders>
          </w:tcPr>
          <w:p w14:paraId="495EBCE8" w14:textId="1791D22C" w:rsidR="00A160B2" w:rsidRDefault="002C5F25" w:rsidP="006C3150">
            <w:pPr>
              <w:pStyle w:val="Infotext"/>
              <w:rPr>
                <w:rFonts w:cs="Arial"/>
              </w:rPr>
            </w:pPr>
            <w:r>
              <w:rPr>
                <w:rFonts w:cs="Arial"/>
              </w:rPr>
              <w:t>8</w:t>
            </w:r>
            <w:r w:rsidRPr="002C5F25">
              <w:rPr>
                <w:rFonts w:cs="Arial"/>
                <w:vertAlign w:val="superscript"/>
              </w:rPr>
              <w:t>th</w:t>
            </w:r>
            <w:r>
              <w:rPr>
                <w:rFonts w:cs="Arial"/>
              </w:rPr>
              <w:t xml:space="preserve"> December 2022</w:t>
            </w:r>
          </w:p>
        </w:tc>
      </w:tr>
      <w:tr w:rsidR="00A160B2" w14:paraId="79B879D4" w14:textId="77777777" w:rsidTr="00CD040F">
        <w:tc>
          <w:tcPr>
            <w:tcW w:w="3383"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6" w:type="dxa"/>
          </w:tcPr>
          <w:p w14:paraId="03814B29" w14:textId="17BDA882" w:rsidR="00A160B2" w:rsidRDefault="005B4C1E" w:rsidP="006C3150">
            <w:pPr>
              <w:pStyle w:val="Infotext"/>
              <w:rPr>
                <w:rFonts w:cs="Arial"/>
              </w:rPr>
            </w:pPr>
            <w:r>
              <w:rPr>
                <w:rFonts w:cs="Arial"/>
              </w:rPr>
              <w:t>Director Posts in People</w:t>
            </w:r>
            <w:r w:rsidR="008919B2">
              <w:rPr>
                <w:rFonts w:cs="Arial"/>
              </w:rPr>
              <w:t xml:space="preserve"> </w:t>
            </w:r>
            <w:r>
              <w:rPr>
                <w:rFonts w:cs="Arial"/>
              </w:rPr>
              <w:t xml:space="preserve">Directorate </w:t>
            </w:r>
          </w:p>
          <w:p w14:paraId="5914456E" w14:textId="7CCA99F5" w:rsidR="00CB38E7" w:rsidRDefault="00CB38E7" w:rsidP="006C3150">
            <w:pPr>
              <w:pStyle w:val="Infotext"/>
              <w:rPr>
                <w:rFonts w:cs="Arial"/>
              </w:rPr>
            </w:pPr>
          </w:p>
        </w:tc>
      </w:tr>
      <w:tr w:rsidR="00A160B2" w14:paraId="3A5E0F07" w14:textId="77777777" w:rsidTr="00CD040F">
        <w:tc>
          <w:tcPr>
            <w:tcW w:w="3383"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6" w:type="dxa"/>
          </w:tcPr>
          <w:p w14:paraId="253D80B6" w14:textId="77777777" w:rsidR="005B4C1E" w:rsidRDefault="005B4C1E" w:rsidP="006C3150">
            <w:pPr>
              <w:pStyle w:val="Infotext"/>
              <w:rPr>
                <w:rFonts w:cs="Arial"/>
              </w:rPr>
            </w:pPr>
            <w:r>
              <w:rPr>
                <w:rFonts w:cs="Arial"/>
              </w:rPr>
              <w:t xml:space="preserve">Senel Arkut </w:t>
            </w:r>
          </w:p>
          <w:p w14:paraId="3CF266C9" w14:textId="61379300" w:rsidR="00A160B2" w:rsidRDefault="005B4C1E" w:rsidP="005B4C1E">
            <w:pPr>
              <w:pStyle w:val="Infotext"/>
              <w:rPr>
                <w:rFonts w:cs="Arial"/>
              </w:rPr>
            </w:pPr>
            <w:r>
              <w:rPr>
                <w:rFonts w:cs="Arial"/>
              </w:rPr>
              <w:t>Corporate Director People</w:t>
            </w:r>
          </w:p>
        </w:tc>
      </w:tr>
      <w:tr w:rsidR="00A160B2" w14:paraId="7AFCAE74" w14:textId="77777777" w:rsidTr="00CD040F">
        <w:tc>
          <w:tcPr>
            <w:tcW w:w="3383"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6" w:type="dxa"/>
          </w:tcPr>
          <w:p w14:paraId="4E3163FF" w14:textId="1423484F" w:rsidR="00A160B2" w:rsidRDefault="00A160B2" w:rsidP="006C3150">
            <w:pPr>
              <w:pStyle w:val="Infotext"/>
              <w:rPr>
                <w:rFonts w:cs="Arial"/>
              </w:rPr>
            </w:pPr>
            <w:r>
              <w:rPr>
                <w:rFonts w:cs="Arial"/>
              </w:rPr>
              <w:t>No</w:t>
            </w:r>
          </w:p>
          <w:p w14:paraId="4C873B59" w14:textId="77777777" w:rsidR="00A160B2" w:rsidRDefault="00A160B2" w:rsidP="00CB38E7">
            <w:pPr>
              <w:pStyle w:val="Infotext"/>
              <w:rPr>
                <w:rFonts w:cs="Arial"/>
              </w:rPr>
            </w:pPr>
          </w:p>
        </w:tc>
      </w:tr>
      <w:tr w:rsidR="00A160B2" w14:paraId="521D9222" w14:textId="77777777" w:rsidTr="00CD040F">
        <w:tc>
          <w:tcPr>
            <w:tcW w:w="3383" w:type="dxa"/>
          </w:tcPr>
          <w:p w14:paraId="65A16444" w14:textId="77777777" w:rsidR="00A160B2" w:rsidRPr="00F92398" w:rsidRDefault="00A160B2" w:rsidP="006C3150">
            <w:pPr>
              <w:pStyle w:val="Infotext"/>
              <w:rPr>
                <w:rFonts w:ascii="Arial Black" w:hAnsi="Arial Black" w:cs="Arial"/>
              </w:rPr>
            </w:pPr>
          </w:p>
        </w:tc>
        <w:tc>
          <w:tcPr>
            <w:tcW w:w="4926" w:type="dxa"/>
          </w:tcPr>
          <w:p w14:paraId="6CD568AC" w14:textId="7350D6D6" w:rsidR="00A160B2" w:rsidRDefault="00A160B2" w:rsidP="006C3150">
            <w:pPr>
              <w:pStyle w:val="Infotext"/>
            </w:pPr>
          </w:p>
        </w:tc>
      </w:tr>
      <w:tr w:rsidR="00A160B2" w14:paraId="7C35C184" w14:textId="77777777" w:rsidTr="00CD040F">
        <w:tc>
          <w:tcPr>
            <w:tcW w:w="3383" w:type="dxa"/>
          </w:tcPr>
          <w:p w14:paraId="69475841" w14:textId="2899B9AB" w:rsidR="00A160B2" w:rsidRPr="00F92398" w:rsidRDefault="00A160B2" w:rsidP="00CB38E7">
            <w:pPr>
              <w:pStyle w:val="Infotext"/>
              <w:rPr>
                <w:rFonts w:ascii="Arial Black" w:hAnsi="Arial Black" w:cs="Arial"/>
              </w:rPr>
            </w:pPr>
            <w:r w:rsidRPr="00F92398">
              <w:rPr>
                <w:rFonts w:ascii="Arial Black" w:hAnsi="Arial Black" w:cs="Arial"/>
              </w:rPr>
              <w:t>Enclosures:</w:t>
            </w:r>
          </w:p>
        </w:tc>
        <w:tc>
          <w:tcPr>
            <w:tcW w:w="4926" w:type="dxa"/>
          </w:tcPr>
          <w:p w14:paraId="4C232B02" w14:textId="4DA7D32E" w:rsidR="00A160B2" w:rsidRDefault="00CD040F" w:rsidP="006C3150">
            <w:pPr>
              <w:pStyle w:val="Infotext"/>
            </w:pPr>
            <w:r>
              <w:t>None</w:t>
            </w:r>
          </w:p>
        </w:tc>
      </w:tr>
      <w:tr w:rsidR="00A160B2" w14:paraId="576A8326" w14:textId="77777777" w:rsidTr="00CD040F">
        <w:tc>
          <w:tcPr>
            <w:tcW w:w="3383" w:type="dxa"/>
          </w:tcPr>
          <w:p w14:paraId="083D62A1" w14:textId="77777777" w:rsidR="00A160B2" w:rsidRPr="00F92398" w:rsidRDefault="00A160B2" w:rsidP="006C3150">
            <w:pPr>
              <w:pStyle w:val="Infotext"/>
              <w:rPr>
                <w:rFonts w:ascii="Arial Black" w:hAnsi="Arial Black" w:cs="Arial"/>
              </w:rPr>
            </w:pPr>
          </w:p>
        </w:tc>
        <w:tc>
          <w:tcPr>
            <w:tcW w:w="4926" w:type="dxa"/>
          </w:tcPr>
          <w:p w14:paraId="35FD747C" w14:textId="77777777" w:rsidR="00A160B2" w:rsidRDefault="00A160B2" w:rsidP="006C3150">
            <w:pPr>
              <w:pStyle w:val="Infotext"/>
              <w:rPr>
                <w:rFonts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CD040F">
        <w:trPr>
          <w:tblHeader/>
        </w:trPr>
        <w:tc>
          <w:tcPr>
            <w:tcW w:w="8309" w:type="dxa"/>
            <w:tcBorders>
              <w:top w:val="nil"/>
              <w:left w:val="nil"/>
              <w:bottom w:val="single" w:sz="4" w:space="0" w:color="auto"/>
              <w:right w:val="nil"/>
            </w:tcBorders>
          </w:tcPr>
          <w:p w14:paraId="47AF8288" w14:textId="77777777" w:rsidR="00A160B2" w:rsidRPr="00441969" w:rsidRDefault="00A160B2" w:rsidP="00912904">
            <w:pPr>
              <w:pStyle w:val="Heading2"/>
              <w:spacing w:before="240" w:after="240"/>
              <w:rPr>
                <w:sz w:val="28"/>
                <w:szCs w:val="28"/>
              </w:rPr>
            </w:pPr>
            <w:r w:rsidRPr="00441969">
              <w:rPr>
                <w:sz w:val="28"/>
                <w:szCs w:val="28"/>
              </w:rPr>
              <w:t>Section 1 – Summary and Recommendations</w:t>
            </w:r>
          </w:p>
        </w:tc>
      </w:tr>
      <w:tr w:rsidR="00A160B2" w14:paraId="281F4D12" w14:textId="77777777" w:rsidTr="00CD040F">
        <w:trPr>
          <w:tblHeader/>
        </w:trPr>
        <w:tc>
          <w:tcPr>
            <w:tcW w:w="8309" w:type="dxa"/>
            <w:tcBorders>
              <w:left w:val="nil"/>
              <w:bottom w:val="nil"/>
              <w:right w:val="nil"/>
            </w:tcBorders>
          </w:tcPr>
          <w:p w14:paraId="13210846" w14:textId="77777777" w:rsidR="00CB38E7" w:rsidRDefault="00CB38E7" w:rsidP="00A160B2"/>
          <w:p w14:paraId="4124675E" w14:textId="45DC43D5" w:rsidR="00A160B2" w:rsidRPr="00CD040F" w:rsidRDefault="00A160B2" w:rsidP="002B45FC">
            <w:r w:rsidRPr="00CD040F">
              <w:t xml:space="preserve">This report </w:t>
            </w:r>
            <w:r w:rsidR="00EF70E1">
              <w:t xml:space="preserve">explains the outcome of job evaluation exercises </w:t>
            </w:r>
            <w:r w:rsidR="00BB52DF">
              <w:t xml:space="preserve">in the People Directorate earlier this year and seeks retrospective approval </w:t>
            </w:r>
            <w:r w:rsidR="00BC7290">
              <w:t>for the creation of 6 D1 graded posts</w:t>
            </w:r>
            <w:r w:rsidR="002B45FC">
              <w:t>.</w:t>
            </w:r>
            <w:r w:rsidR="00BC7290">
              <w:t xml:space="preserve"> </w:t>
            </w:r>
          </w:p>
          <w:p w14:paraId="2C9E4A81" w14:textId="77777777" w:rsidR="00A160B2" w:rsidRDefault="00A160B2"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24CECC1F" w14:textId="77777777" w:rsidR="00CD040F" w:rsidRDefault="00CD040F" w:rsidP="00A160B2"/>
          <w:p w14:paraId="2C10AB8B" w14:textId="45962AB1" w:rsidR="001577AD" w:rsidRDefault="00A160B2" w:rsidP="001577AD">
            <w:pPr>
              <w:rPr>
                <w:szCs w:val="24"/>
              </w:rPr>
            </w:pPr>
            <w:r>
              <w:t>The Panel is requested to</w:t>
            </w:r>
            <w:r w:rsidR="001577AD">
              <w:t xml:space="preserve"> </w:t>
            </w:r>
            <w:r w:rsidR="00F3379E">
              <w:t xml:space="preserve">retrospectively </w:t>
            </w:r>
            <w:r w:rsidR="001577AD">
              <w:t>a</w:t>
            </w:r>
            <w:r w:rsidR="00CD040F" w:rsidRPr="00CD040F">
              <w:rPr>
                <w:szCs w:val="24"/>
              </w:rPr>
              <w:t xml:space="preserve">pprove the </w:t>
            </w:r>
            <w:r w:rsidR="0030142A">
              <w:rPr>
                <w:szCs w:val="24"/>
              </w:rPr>
              <w:t>creation of the following posts in the People</w:t>
            </w:r>
            <w:r w:rsidR="00B8301F">
              <w:rPr>
                <w:szCs w:val="24"/>
              </w:rPr>
              <w:t xml:space="preserve"> </w:t>
            </w:r>
            <w:r w:rsidR="0030142A">
              <w:rPr>
                <w:szCs w:val="24"/>
              </w:rPr>
              <w:t>Directorate</w:t>
            </w:r>
            <w:r w:rsidR="00966918">
              <w:rPr>
                <w:szCs w:val="24"/>
              </w:rPr>
              <w:t xml:space="preserve"> with salary packages of £</w:t>
            </w:r>
            <w:r w:rsidR="007E7EB1">
              <w:rPr>
                <w:szCs w:val="24"/>
              </w:rPr>
              <w:t>91</w:t>
            </w:r>
            <w:r w:rsidR="005F54E5">
              <w:rPr>
                <w:szCs w:val="24"/>
              </w:rPr>
              <w:t>,</w:t>
            </w:r>
            <w:r w:rsidR="001831E5">
              <w:rPr>
                <w:szCs w:val="24"/>
              </w:rPr>
              <w:t>269</w:t>
            </w:r>
            <w:r w:rsidR="007E7EB1">
              <w:rPr>
                <w:szCs w:val="24"/>
              </w:rPr>
              <w:t xml:space="preserve"> </w:t>
            </w:r>
            <w:r w:rsidR="00966918">
              <w:rPr>
                <w:szCs w:val="24"/>
              </w:rPr>
              <w:t>- £10</w:t>
            </w:r>
            <w:r w:rsidR="005F54E5">
              <w:rPr>
                <w:szCs w:val="24"/>
              </w:rPr>
              <w:t>7</w:t>
            </w:r>
            <w:r w:rsidR="007E7EB1">
              <w:rPr>
                <w:szCs w:val="24"/>
              </w:rPr>
              <w:t>,</w:t>
            </w:r>
            <w:r w:rsidR="001831E5">
              <w:rPr>
                <w:szCs w:val="24"/>
              </w:rPr>
              <w:t>264</w:t>
            </w:r>
            <w:r w:rsidR="0030142A">
              <w:rPr>
                <w:szCs w:val="24"/>
              </w:rPr>
              <w:t>:</w:t>
            </w:r>
          </w:p>
          <w:p w14:paraId="786DBBE0" w14:textId="77777777" w:rsidR="001577AD" w:rsidRPr="00A420E4" w:rsidRDefault="001577AD" w:rsidP="001577AD">
            <w:pPr>
              <w:rPr>
                <w:sz w:val="28"/>
                <w:szCs w:val="28"/>
              </w:rPr>
            </w:pPr>
          </w:p>
          <w:p w14:paraId="718AD8E7" w14:textId="2E232A75" w:rsidR="001577AD" w:rsidRPr="00A420E4" w:rsidRDefault="001577AD" w:rsidP="006B7249">
            <w:pPr>
              <w:pStyle w:val="ListParagraph"/>
              <w:numPr>
                <w:ilvl w:val="0"/>
                <w:numId w:val="21"/>
              </w:numPr>
              <w:rPr>
                <w:sz w:val="24"/>
                <w:szCs w:val="24"/>
              </w:rPr>
            </w:pPr>
            <w:r w:rsidRPr="00A420E4">
              <w:rPr>
                <w:sz w:val="24"/>
                <w:szCs w:val="24"/>
              </w:rPr>
              <w:t>Head of Service</w:t>
            </w:r>
            <w:r w:rsidR="00B8301F" w:rsidRPr="00A420E4">
              <w:rPr>
                <w:sz w:val="24"/>
                <w:szCs w:val="24"/>
              </w:rPr>
              <w:t>:</w:t>
            </w:r>
            <w:r w:rsidRPr="00A420E4">
              <w:rPr>
                <w:sz w:val="24"/>
                <w:szCs w:val="24"/>
              </w:rPr>
              <w:t xml:space="preserve"> Children's Access</w:t>
            </w:r>
          </w:p>
          <w:p w14:paraId="5B3A200C" w14:textId="77777777" w:rsidR="001577AD" w:rsidRPr="00A420E4" w:rsidRDefault="001577AD" w:rsidP="006B7249">
            <w:pPr>
              <w:pStyle w:val="ListParagraph"/>
              <w:numPr>
                <w:ilvl w:val="0"/>
                <w:numId w:val="21"/>
              </w:numPr>
              <w:rPr>
                <w:sz w:val="24"/>
                <w:szCs w:val="24"/>
              </w:rPr>
            </w:pPr>
            <w:r w:rsidRPr="00A420E4">
              <w:rPr>
                <w:sz w:val="24"/>
                <w:szCs w:val="24"/>
              </w:rPr>
              <w:t>Head of Service: Children in Need</w:t>
            </w:r>
          </w:p>
          <w:p w14:paraId="304BB10D" w14:textId="42FD35F7" w:rsidR="001577AD" w:rsidRPr="00A420E4" w:rsidRDefault="001577AD" w:rsidP="006B7249">
            <w:pPr>
              <w:pStyle w:val="ListParagraph"/>
              <w:numPr>
                <w:ilvl w:val="0"/>
                <w:numId w:val="21"/>
              </w:numPr>
              <w:rPr>
                <w:sz w:val="24"/>
                <w:szCs w:val="24"/>
              </w:rPr>
            </w:pPr>
            <w:r w:rsidRPr="00A420E4">
              <w:rPr>
                <w:sz w:val="24"/>
                <w:szCs w:val="24"/>
              </w:rPr>
              <w:t>Head of Service: Quality Standards &amp; Practice Improvement</w:t>
            </w:r>
          </w:p>
          <w:p w14:paraId="53CFF477" w14:textId="77777777" w:rsidR="001577AD" w:rsidRPr="00A420E4" w:rsidRDefault="001577AD" w:rsidP="006B7249">
            <w:pPr>
              <w:pStyle w:val="ListParagraph"/>
              <w:numPr>
                <w:ilvl w:val="0"/>
                <w:numId w:val="21"/>
              </w:numPr>
              <w:rPr>
                <w:sz w:val="24"/>
                <w:szCs w:val="24"/>
              </w:rPr>
            </w:pPr>
            <w:r w:rsidRPr="00A420E4">
              <w:rPr>
                <w:sz w:val="24"/>
                <w:szCs w:val="24"/>
              </w:rPr>
              <w:t>Head of Service: Corporate Parenting</w:t>
            </w:r>
          </w:p>
          <w:p w14:paraId="231979AF" w14:textId="77777777" w:rsidR="001577AD" w:rsidRPr="00A420E4" w:rsidRDefault="001577AD" w:rsidP="006B7249">
            <w:pPr>
              <w:pStyle w:val="ListParagraph"/>
              <w:numPr>
                <w:ilvl w:val="0"/>
                <w:numId w:val="21"/>
              </w:numPr>
              <w:rPr>
                <w:sz w:val="24"/>
                <w:szCs w:val="24"/>
              </w:rPr>
            </w:pPr>
            <w:r w:rsidRPr="00A420E4">
              <w:rPr>
                <w:sz w:val="24"/>
                <w:szCs w:val="24"/>
              </w:rPr>
              <w:t>Head of Service: Early Help &amp; Youth Justice</w:t>
            </w:r>
          </w:p>
          <w:p w14:paraId="54507771" w14:textId="5AC79EAD" w:rsidR="001577AD" w:rsidRDefault="001577AD" w:rsidP="006B7249">
            <w:pPr>
              <w:pStyle w:val="ListParagraph"/>
              <w:numPr>
                <w:ilvl w:val="0"/>
                <w:numId w:val="21"/>
              </w:numPr>
              <w:rPr>
                <w:sz w:val="24"/>
                <w:szCs w:val="24"/>
              </w:rPr>
            </w:pPr>
            <w:r w:rsidRPr="00A420E4">
              <w:rPr>
                <w:sz w:val="24"/>
                <w:szCs w:val="24"/>
              </w:rPr>
              <w:t xml:space="preserve">Head of Service: Specialist </w:t>
            </w:r>
            <w:r w:rsidR="00C17EF4" w:rsidRPr="00A420E4">
              <w:rPr>
                <w:sz w:val="24"/>
                <w:szCs w:val="24"/>
              </w:rPr>
              <w:t xml:space="preserve">Learning &amp; Disability </w:t>
            </w:r>
            <w:r w:rsidRPr="00A420E4">
              <w:rPr>
                <w:sz w:val="24"/>
                <w:szCs w:val="24"/>
              </w:rPr>
              <w:t>and</w:t>
            </w:r>
            <w:r w:rsidR="00C17EF4" w:rsidRPr="00A420E4">
              <w:rPr>
                <w:sz w:val="24"/>
                <w:szCs w:val="24"/>
              </w:rPr>
              <w:t xml:space="preserve"> Children &amp; Young Adults with Disabilities</w:t>
            </w:r>
          </w:p>
          <w:p w14:paraId="371F3B60" w14:textId="77777777" w:rsidR="00853431" w:rsidRPr="00A420E4" w:rsidRDefault="00853431" w:rsidP="00853431">
            <w:pPr>
              <w:pStyle w:val="ListParagraph"/>
              <w:rPr>
                <w:sz w:val="24"/>
                <w:szCs w:val="24"/>
              </w:rPr>
            </w:pPr>
          </w:p>
          <w:p w14:paraId="070C2085" w14:textId="59DED2F9" w:rsidR="001577AD" w:rsidRDefault="001577AD" w:rsidP="001577AD">
            <w:pPr>
              <w:rPr>
                <w:rFonts w:cs="Arial"/>
                <w:lang w:eastAsia="en-GB"/>
              </w:rPr>
            </w:pPr>
            <w:r>
              <w:rPr>
                <w:rFonts w:cs="Arial"/>
                <w:lang w:eastAsia="en-GB"/>
              </w:rPr>
              <w:t xml:space="preserve">    </w:t>
            </w:r>
          </w:p>
          <w:p w14:paraId="714CBDEE" w14:textId="763000D5" w:rsidR="00210369" w:rsidRDefault="00210369" w:rsidP="001577AD"/>
        </w:tc>
      </w:tr>
    </w:tbl>
    <w:p w14:paraId="53DC7DE2" w14:textId="50B3EBAB" w:rsidR="002A2389" w:rsidRPr="00FE5A4C" w:rsidRDefault="002A2389" w:rsidP="00A160B2">
      <w:pPr>
        <w:pStyle w:val="Heading2"/>
        <w:rPr>
          <w:sz w:val="28"/>
          <w:szCs w:val="28"/>
        </w:rPr>
      </w:pPr>
      <w:r w:rsidRPr="00FE5A4C">
        <w:rPr>
          <w:sz w:val="28"/>
          <w:szCs w:val="28"/>
        </w:rPr>
        <w:lastRenderedPageBreak/>
        <w:t xml:space="preserve">Section </w:t>
      </w:r>
      <w:r w:rsidR="009A38E8" w:rsidRPr="00FE5A4C">
        <w:rPr>
          <w:sz w:val="28"/>
          <w:szCs w:val="28"/>
        </w:rPr>
        <w:t xml:space="preserve">  </w:t>
      </w:r>
      <w:r w:rsidRPr="00FE5A4C">
        <w:rPr>
          <w:sz w:val="28"/>
          <w:szCs w:val="28"/>
        </w:rPr>
        <w:t>2 – Report</w:t>
      </w:r>
    </w:p>
    <w:p w14:paraId="514F85F8" w14:textId="79915E2D" w:rsidR="002A2389" w:rsidRPr="000D2BE2" w:rsidRDefault="002A2389" w:rsidP="003D2FFE">
      <w:pPr>
        <w:spacing w:before="240"/>
        <w:rPr>
          <w:rFonts w:ascii="Arial Bold" w:hAnsi="Arial Bold"/>
          <w:bCs/>
          <w:szCs w:val="24"/>
        </w:rPr>
      </w:pPr>
      <w:r w:rsidRPr="000D2BE2">
        <w:rPr>
          <w:rFonts w:ascii="Arial Bold" w:hAnsi="Arial Bold"/>
          <w:bCs/>
          <w:szCs w:val="24"/>
        </w:rPr>
        <w:t xml:space="preserve">Background </w:t>
      </w:r>
    </w:p>
    <w:p w14:paraId="18388F6F" w14:textId="77777777" w:rsidR="00210369" w:rsidRDefault="00210369" w:rsidP="00210369"/>
    <w:p w14:paraId="276DB9E6" w14:textId="1D7163BA" w:rsidR="00210369" w:rsidRDefault="00210369" w:rsidP="00210369">
      <w:r>
        <w:t xml:space="preserve">From July 2020 to September 2021, a total of 7 Head of Service roles within the People Services directorate were sent through to HR for grade re-assessment.  The roles were job evaluated, under the HAY scheme, and all 7 roles were regraded from grade MG4 to grade D1; without approval from </w:t>
      </w:r>
      <w:r w:rsidR="00D36362">
        <w:t>the Chief Officers’ Employment Panel (</w:t>
      </w:r>
      <w:r>
        <w:t>COEP</w:t>
      </w:r>
      <w:r w:rsidR="00D36362">
        <w:t>)</w:t>
      </w:r>
      <w:r>
        <w:t xml:space="preserve">.  This grade increase resulted in staff being paid or </w:t>
      </w:r>
      <w:r w:rsidR="00D36362">
        <w:t xml:space="preserve">to </w:t>
      </w:r>
      <w:r>
        <w:t>potentially be paid more than £100,000 per annum.</w:t>
      </w:r>
    </w:p>
    <w:p w14:paraId="1DB897E2" w14:textId="77777777" w:rsidR="00210369" w:rsidRDefault="00210369" w:rsidP="00210369">
      <w:pPr>
        <w:rPr>
          <w:rFonts w:asciiTheme="minorHAnsi" w:hAnsiTheme="minorHAnsi"/>
          <w:sz w:val="22"/>
        </w:rPr>
      </w:pPr>
    </w:p>
    <w:p w14:paraId="37817682" w14:textId="4DA76B61" w:rsidR="00210369" w:rsidRPr="00210369" w:rsidRDefault="00210369" w:rsidP="00210369">
      <w:pPr>
        <w:rPr>
          <w:b/>
          <w:bCs/>
        </w:rPr>
      </w:pPr>
      <w:r w:rsidRPr="00210369">
        <w:rPr>
          <w:b/>
          <w:bCs/>
        </w:rPr>
        <w:t>Adult Social Services</w:t>
      </w:r>
    </w:p>
    <w:p w14:paraId="2ACF3D82" w14:textId="77777777" w:rsidR="00210369" w:rsidRDefault="00210369" w:rsidP="00210369"/>
    <w:p w14:paraId="7CAC3DC7" w14:textId="11BFF52D" w:rsidR="00210369" w:rsidRDefault="00210369" w:rsidP="00210369">
      <w:r>
        <w:t>In January 2020, the Director of Adult Social Services (DASS) requested the H</w:t>
      </w:r>
      <w:r w:rsidR="00D36362">
        <w:t xml:space="preserve">ead of </w:t>
      </w:r>
      <w:r>
        <w:t>S</w:t>
      </w:r>
      <w:r w:rsidR="00D36362">
        <w:t>ervice</w:t>
      </w:r>
      <w:r>
        <w:t xml:space="preserve"> for Learning Disability (LD) &amp; Children and Young Adults with Disabilities (CYAD) role be re-evaluated and sought consent </w:t>
      </w:r>
      <w:r w:rsidR="00D36362">
        <w:t>from</w:t>
      </w:r>
      <w:r>
        <w:t xml:space="preserve"> the Corporate Director of People to approve. Consent was given and the final job description was brought forward for grade assessment. When H</w:t>
      </w:r>
      <w:r w:rsidR="00D36362">
        <w:t>uman Resources (H</w:t>
      </w:r>
      <w:r>
        <w:t>R</w:t>
      </w:r>
      <w:r w:rsidR="00D36362">
        <w:t>)</w:t>
      </w:r>
      <w:r>
        <w:t xml:space="preserve"> confirmed the grade to management, they did not remind the managers that the change in grade would need to go through COEP. A job evaluation amendment form was provided to managers to make the necessary changes on SAP.  In September 2020, the DASS put forward a second role, Head of Service – Health &amp; Well-Being, to HR for a grade re-assessment. Consent was sought </w:t>
      </w:r>
      <w:r w:rsidR="00D36362">
        <w:t>from</w:t>
      </w:r>
      <w:r>
        <w:t xml:space="preserve"> the Corporate Director of People before the role was evaluated. When HR confirmed the grade to management, they did not remind the managers that the change in grade would need to go through COEP. </w:t>
      </w:r>
    </w:p>
    <w:p w14:paraId="5815EEAB" w14:textId="77777777" w:rsidR="00210369" w:rsidRDefault="00210369" w:rsidP="00210369"/>
    <w:p w14:paraId="76CAF25A" w14:textId="78B57E3F" w:rsidR="00210369" w:rsidRPr="00210369" w:rsidRDefault="00210369" w:rsidP="00210369">
      <w:pPr>
        <w:rPr>
          <w:b/>
          <w:bCs/>
        </w:rPr>
      </w:pPr>
      <w:r w:rsidRPr="00210369">
        <w:rPr>
          <w:b/>
          <w:bCs/>
        </w:rPr>
        <w:t>Children and Young People Services</w:t>
      </w:r>
    </w:p>
    <w:p w14:paraId="65B9281A" w14:textId="77777777" w:rsidR="00210369" w:rsidRDefault="00210369" w:rsidP="00210369"/>
    <w:p w14:paraId="62C058A9" w14:textId="657F7EBF" w:rsidR="00210369" w:rsidRDefault="00210369" w:rsidP="00210369">
      <w:r>
        <w:t>In August 2021, the Divisional Director Children and Young People Services</w:t>
      </w:r>
      <w:r w:rsidR="00D36362">
        <w:t>.</w:t>
      </w:r>
      <w:r>
        <w:t xml:space="preserve"> with the approval of the Corporate Director for People</w:t>
      </w:r>
      <w:r w:rsidR="00D36362">
        <w:t>,</w:t>
      </w:r>
      <w:r>
        <w:t xml:space="preserve"> approached HR to re-evaluate 3 Head of service roles within this division. The roles which were put forward were: </w:t>
      </w:r>
    </w:p>
    <w:p w14:paraId="08162FE1" w14:textId="77777777" w:rsidR="00210369" w:rsidRPr="00210369" w:rsidRDefault="00210369" w:rsidP="00210369">
      <w:pPr>
        <w:pStyle w:val="ListParagraph"/>
        <w:numPr>
          <w:ilvl w:val="0"/>
          <w:numId w:val="22"/>
        </w:numPr>
        <w:spacing w:after="160" w:line="256" w:lineRule="auto"/>
        <w:contextualSpacing/>
        <w:rPr>
          <w:sz w:val="24"/>
          <w:szCs w:val="24"/>
        </w:rPr>
      </w:pPr>
      <w:bookmarkStart w:id="0" w:name="_Hlk120191866"/>
      <w:r w:rsidRPr="00210369">
        <w:rPr>
          <w:sz w:val="24"/>
          <w:szCs w:val="24"/>
        </w:rPr>
        <w:t xml:space="preserve">Head Of Service </w:t>
      </w:r>
      <w:bookmarkEnd w:id="0"/>
      <w:r w:rsidRPr="00210369">
        <w:rPr>
          <w:sz w:val="24"/>
          <w:szCs w:val="24"/>
        </w:rPr>
        <w:t>Children’s Access</w:t>
      </w:r>
    </w:p>
    <w:p w14:paraId="56376E1A" w14:textId="77777777" w:rsidR="00210369" w:rsidRPr="00210369" w:rsidRDefault="00210369" w:rsidP="00210369">
      <w:pPr>
        <w:pStyle w:val="ListParagraph"/>
        <w:numPr>
          <w:ilvl w:val="0"/>
          <w:numId w:val="22"/>
        </w:numPr>
        <w:spacing w:after="160" w:line="256" w:lineRule="auto"/>
        <w:contextualSpacing/>
        <w:rPr>
          <w:sz w:val="24"/>
          <w:szCs w:val="24"/>
        </w:rPr>
      </w:pPr>
      <w:r w:rsidRPr="00210369">
        <w:rPr>
          <w:sz w:val="24"/>
          <w:szCs w:val="24"/>
        </w:rPr>
        <w:t xml:space="preserve">Head Of Service Children in Need </w:t>
      </w:r>
    </w:p>
    <w:p w14:paraId="2787D176" w14:textId="77777777" w:rsidR="00210369" w:rsidRPr="00210369" w:rsidRDefault="00210369" w:rsidP="00210369">
      <w:pPr>
        <w:pStyle w:val="ListParagraph"/>
        <w:numPr>
          <w:ilvl w:val="0"/>
          <w:numId w:val="22"/>
        </w:numPr>
        <w:spacing w:after="160" w:line="256" w:lineRule="auto"/>
        <w:contextualSpacing/>
        <w:rPr>
          <w:sz w:val="24"/>
          <w:szCs w:val="24"/>
        </w:rPr>
      </w:pPr>
      <w:r w:rsidRPr="00210369">
        <w:rPr>
          <w:sz w:val="24"/>
          <w:szCs w:val="24"/>
        </w:rPr>
        <w:t>Head Of Service Quality Standards and Practice Improvement</w:t>
      </w:r>
    </w:p>
    <w:p w14:paraId="207B5291" w14:textId="0C2D8C74" w:rsidR="00210369" w:rsidRDefault="00210369" w:rsidP="00210369">
      <w:r>
        <w:t>When these roles were put forward for grade assessment, HR highlighted the following:</w:t>
      </w:r>
    </w:p>
    <w:p w14:paraId="4A71EE18" w14:textId="77777777" w:rsidR="00D36362" w:rsidRDefault="00D36362" w:rsidP="00210369"/>
    <w:p w14:paraId="361B4F15" w14:textId="60B8E84A" w:rsidR="00210369" w:rsidRPr="00210369" w:rsidRDefault="00210369" w:rsidP="00210369">
      <w:pPr>
        <w:rPr>
          <w:i/>
          <w:iCs/>
        </w:rPr>
      </w:pPr>
      <w:r w:rsidRPr="00210369">
        <w:rPr>
          <w:i/>
          <w:iCs/>
        </w:rPr>
        <w:t>“Please note that should these roles incur a grade increase, they will need to go to COEP to agree to the grade prior to making the changes on SAP.  I will advise you of the outcome in due course.”</w:t>
      </w:r>
    </w:p>
    <w:p w14:paraId="30B45AD1" w14:textId="77777777" w:rsidR="00210369" w:rsidRDefault="00210369" w:rsidP="00210369"/>
    <w:p w14:paraId="50B59A44" w14:textId="073DD7CD" w:rsidR="00210369" w:rsidRDefault="00210369" w:rsidP="00210369">
      <w:r>
        <w:t>However, when HR confirmed the roles were regraded from grade MG4 to grade D1 they did not remind management to go to COEP. Following this grade assessment, the Divisional Director Children and Young People Services requested, with the Corporate Director</w:t>
      </w:r>
      <w:r w:rsidR="00D94712">
        <w:t>’s</w:t>
      </w:r>
      <w:r>
        <w:t xml:space="preserve"> approval, for the remaining Head of Service roles to be put forward for grade assessment. These roles were:</w:t>
      </w:r>
    </w:p>
    <w:p w14:paraId="6A8C8646" w14:textId="77777777" w:rsidR="00D94712" w:rsidRDefault="00D94712" w:rsidP="00210369"/>
    <w:p w14:paraId="61EC0109" w14:textId="77777777" w:rsidR="00210369" w:rsidRPr="007401D8" w:rsidRDefault="00210369" w:rsidP="00210369">
      <w:pPr>
        <w:pStyle w:val="ListParagraph"/>
        <w:numPr>
          <w:ilvl w:val="0"/>
          <w:numId w:val="24"/>
        </w:numPr>
        <w:rPr>
          <w:sz w:val="24"/>
          <w:szCs w:val="24"/>
        </w:rPr>
      </w:pPr>
      <w:r w:rsidRPr="007401D8">
        <w:rPr>
          <w:sz w:val="24"/>
          <w:szCs w:val="24"/>
        </w:rPr>
        <w:lastRenderedPageBreak/>
        <w:t>Head Of Service Corporate Parenting</w:t>
      </w:r>
    </w:p>
    <w:p w14:paraId="35F0AA69" w14:textId="77777777" w:rsidR="00210369" w:rsidRPr="007401D8" w:rsidRDefault="00210369" w:rsidP="00210369">
      <w:pPr>
        <w:pStyle w:val="ListParagraph"/>
        <w:numPr>
          <w:ilvl w:val="0"/>
          <w:numId w:val="24"/>
        </w:numPr>
        <w:rPr>
          <w:sz w:val="24"/>
          <w:szCs w:val="24"/>
        </w:rPr>
      </w:pPr>
      <w:r w:rsidRPr="007401D8">
        <w:rPr>
          <w:sz w:val="24"/>
          <w:szCs w:val="24"/>
        </w:rPr>
        <w:t>Head Of Service Early Help and Youth Justice</w:t>
      </w:r>
    </w:p>
    <w:p w14:paraId="60B0A34B" w14:textId="77777777" w:rsidR="00210369" w:rsidRPr="007401D8" w:rsidRDefault="00210369" w:rsidP="00210369">
      <w:pPr>
        <w:rPr>
          <w:szCs w:val="24"/>
        </w:rPr>
      </w:pPr>
    </w:p>
    <w:p w14:paraId="6CC64673" w14:textId="2C080B1D" w:rsidR="00210369" w:rsidRDefault="00210369" w:rsidP="00210369">
      <w:r>
        <w:t>When HR confirmed the grade</w:t>
      </w:r>
      <w:r w:rsidR="00D94712">
        <w:t>s</w:t>
      </w:r>
      <w:r>
        <w:t xml:space="preserve"> to management, they did not remind the managers that the change in grade would need to go through COEP.</w:t>
      </w:r>
    </w:p>
    <w:p w14:paraId="0D898E7C" w14:textId="799F93BC" w:rsidR="00210369" w:rsidRDefault="00210369" w:rsidP="00210369">
      <w:r>
        <w:t>In addition to the above, all 7 Head of service roles were rename</w:t>
      </w:r>
      <w:r w:rsidR="009D1705">
        <w:t>d</w:t>
      </w:r>
      <w:r>
        <w:t xml:space="preserve"> to Assistant </w:t>
      </w:r>
      <w:r w:rsidR="00D36362">
        <w:t>Directors</w:t>
      </w:r>
      <w:r>
        <w:t>, the table below illustrates this.</w:t>
      </w:r>
    </w:p>
    <w:p w14:paraId="6D8221DE" w14:textId="77777777" w:rsidR="009D1705" w:rsidRDefault="009D1705" w:rsidP="00210369"/>
    <w:p w14:paraId="712BE351" w14:textId="03587412" w:rsidR="00210369" w:rsidRDefault="00210369" w:rsidP="00210369">
      <w:r>
        <w:t>It is also worth noting that managers are also aware that staffing costs that will be more £100,000 would need to go to the COEP for approval.  It is not solely the responsibility of HR.</w:t>
      </w:r>
    </w:p>
    <w:p w14:paraId="736984FE" w14:textId="77777777" w:rsidR="009D1705" w:rsidRDefault="009D1705" w:rsidP="00210369"/>
    <w:tbl>
      <w:tblPr>
        <w:tblStyle w:val="TableGrid"/>
        <w:tblW w:w="0" w:type="auto"/>
        <w:tblLook w:val="04A0" w:firstRow="1" w:lastRow="0" w:firstColumn="1" w:lastColumn="0" w:noHBand="0" w:noVBand="1"/>
      </w:tblPr>
      <w:tblGrid>
        <w:gridCol w:w="2257"/>
        <w:gridCol w:w="2008"/>
        <w:gridCol w:w="1982"/>
        <w:gridCol w:w="2052"/>
      </w:tblGrid>
      <w:tr w:rsidR="00210369" w14:paraId="3FA0B97A" w14:textId="77777777" w:rsidTr="00210369">
        <w:tc>
          <w:tcPr>
            <w:tcW w:w="2254" w:type="dxa"/>
            <w:tcBorders>
              <w:top w:val="single" w:sz="4" w:space="0" w:color="auto"/>
              <w:left w:val="single" w:sz="4" w:space="0" w:color="auto"/>
              <w:bottom w:val="single" w:sz="4" w:space="0" w:color="auto"/>
              <w:right w:val="single" w:sz="4" w:space="0" w:color="auto"/>
            </w:tcBorders>
            <w:hideMark/>
          </w:tcPr>
          <w:p w14:paraId="3BBC8413" w14:textId="77777777" w:rsidR="00210369" w:rsidRDefault="00210369">
            <w:pPr>
              <w:rPr>
                <w:b/>
                <w:bCs/>
              </w:rPr>
            </w:pPr>
            <w:r>
              <w:rPr>
                <w:b/>
                <w:bCs/>
              </w:rPr>
              <w:t>Original job title and grade</w:t>
            </w:r>
          </w:p>
        </w:tc>
        <w:tc>
          <w:tcPr>
            <w:tcW w:w="2254" w:type="dxa"/>
            <w:tcBorders>
              <w:top w:val="single" w:sz="4" w:space="0" w:color="auto"/>
              <w:left w:val="single" w:sz="4" w:space="0" w:color="auto"/>
              <w:bottom w:val="single" w:sz="4" w:space="0" w:color="auto"/>
              <w:right w:val="single" w:sz="4" w:space="0" w:color="auto"/>
            </w:tcBorders>
            <w:hideMark/>
          </w:tcPr>
          <w:p w14:paraId="4A23AB3D" w14:textId="77777777" w:rsidR="00210369" w:rsidRDefault="00210369">
            <w:pPr>
              <w:rPr>
                <w:b/>
                <w:bCs/>
              </w:rPr>
            </w:pPr>
            <w:r>
              <w:rPr>
                <w:b/>
                <w:bCs/>
              </w:rPr>
              <w:t>Reason for change</w:t>
            </w:r>
          </w:p>
        </w:tc>
        <w:tc>
          <w:tcPr>
            <w:tcW w:w="2254" w:type="dxa"/>
            <w:tcBorders>
              <w:top w:val="single" w:sz="4" w:space="0" w:color="auto"/>
              <w:left w:val="single" w:sz="4" w:space="0" w:color="auto"/>
              <w:bottom w:val="single" w:sz="4" w:space="0" w:color="auto"/>
              <w:right w:val="single" w:sz="4" w:space="0" w:color="auto"/>
            </w:tcBorders>
            <w:hideMark/>
          </w:tcPr>
          <w:p w14:paraId="556D10EF" w14:textId="77777777" w:rsidR="00210369" w:rsidRDefault="00210369">
            <w:pPr>
              <w:rPr>
                <w:b/>
                <w:bCs/>
              </w:rPr>
            </w:pPr>
            <w:r>
              <w:rPr>
                <w:b/>
                <w:bCs/>
              </w:rPr>
              <w:t>Date of Evaluation</w:t>
            </w:r>
          </w:p>
        </w:tc>
        <w:tc>
          <w:tcPr>
            <w:tcW w:w="2254" w:type="dxa"/>
            <w:tcBorders>
              <w:top w:val="single" w:sz="4" w:space="0" w:color="auto"/>
              <w:left w:val="single" w:sz="4" w:space="0" w:color="auto"/>
              <w:bottom w:val="single" w:sz="4" w:space="0" w:color="auto"/>
              <w:right w:val="single" w:sz="4" w:space="0" w:color="auto"/>
            </w:tcBorders>
            <w:hideMark/>
          </w:tcPr>
          <w:p w14:paraId="542F8F7E" w14:textId="77777777" w:rsidR="00210369" w:rsidRDefault="00210369">
            <w:pPr>
              <w:rPr>
                <w:b/>
                <w:bCs/>
              </w:rPr>
            </w:pPr>
            <w:r>
              <w:rPr>
                <w:b/>
                <w:bCs/>
              </w:rPr>
              <w:t>Revised Job Title and grade</w:t>
            </w:r>
          </w:p>
        </w:tc>
      </w:tr>
      <w:tr w:rsidR="00210369" w14:paraId="7AB57BF8" w14:textId="77777777" w:rsidTr="00210369">
        <w:tc>
          <w:tcPr>
            <w:tcW w:w="2254" w:type="dxa"/>
            <w:tcBorders>
              <w:top w:val="single" w:sz="4" w:space="0" w:color="auto"/>
              <w:left w:val="single" w:sz="4" w:space="0" w:color="auto"/>
              <w:bottom w:val="single" w:sz="4" w:space="0" w:color="auto"/>
              <w:right w:val="single" w:sz="4" w:space="0" w:color="auto"/>
            </w:tcBorders>
          </w:tcPr>
          <w:p w14:paraId="13F85BF5" w14:textId="77777777" w:rsidR="00210369" w:rsidRDefault="00210369">
            <w:r>
              <w:t>HOS for Learning Disability (LD) &amp; Children and Young Adults with Disabilities (CYAD)</w:t>
            </w:r>
          </w:p>
          <w:p w14:paraId="39EC894A" w14:textId="77777777" w:rsidR="00210369" w:rsidRDefault="00210369"/>
        </w:tc>
        <w:tc>
          <w:tcPr>
            <w:tcW w:w="2254" w:type="dxa"/>
            <w:tcBorders>
              <w:top w:val="single" w:sz="4" w:space="0" w:color="auto"/>
              <w:left w:val="single" w:sz="4" w:space="0" w:color="auto"/>
              <w:bottom w:val="single" w:sz="4" w:space="0" w:color="auto"/>
              <w:right w:val="single" w:sz="4" w:space="0" w:color="auto"/>
            </w:tcBorders>
            <w:hideMark/>
          </w:tcPr>
          <w:p w14:paraId="425BBA11" w14:textId="77777777" w:rsidR="00210369" w:rsidRDefault="00210369">
            <w:r>
              <w:t>The DASS put forward this post to re-evaluate to HR.  The post holder requested their role be regraded following the CYAD team being lifted and shifted into their service area.</w:t>
            </w:r>
          </w:p>
        </w:tc>
        <w:tc>
          <w:tcPr>
            <w:tcW w:w="2254" w:type="dxa"/>
            <w:tcBorders>
              <w:top w:val="single" w:sz="4" w:space="0" w:color="auto"/>
              <w:left w:val="single" w:sz="4" w:space="0" w:color="auto"/>
              <w:bottom w:val="single" w:sz="4" w:space="0" w:color="auto"/>
              <w:right w:val="single" w:sz="4" w:space="0" w:color="auto"/>
            </w:tcBorders>
            <w:hideMark/>
          </w:tcPr>
          <w:p w14:paraId="53FE0461" w14:textId="77777777" w:rsidR="00210369" w:rsidRDefault="00210369">
            <w:r>
              <w:t>July 2020</w:t>
            </w:r>
          </w:p>
        </w:tc>
        <w:tc>
          <w:tcPr>
            <w:tcW w:w="2254" w:type="dxa"/>
            <w:tcBorders>
              <w:top w:val="single" w:sz="4" w:space="0" w:color="auto"/>
              <w:left w:val="single" w:sz="4" w:space="0" w:color="auto"/>
              <w:bottom w:val="single" w:sz="4" w:space="0" w:color="auto"/>
              <w:right w:val="single" w:sz="4" w:space="0" w:color="auto"/>
            </w:tcBorders>
            <w:hideMark/>
          </w:tcPr>
          <w:p w14:paraId="52FACDC9" w14:textId="4B9F2FA7" w:rsidR="00210369" w:rsidRDefault="00210369">
            <w:r>
              <w:t>Assistant Director for LD &amp;</w:t>
            </w:r>
            <w:r w:rsidR="00D94712">
              <w:t xml:space="preserve"> </w:t>
            </w:r>
            <w:r>
              <w:t>CYAD</w:t>
            </w:r>
          </w:p>
        </w:tc>
      </w:tr>
      <w:tr w:rsidR="00210369" w14:paraId="27B58640" w14:textId="77777777" w:rsidTr="00210369">
        <w:tc>
          <w:tcPr>
            <w:tcW w:w="2254" w:type="dxa"/>
            <w:tcBorders>
              <w:top w:val="single" w:sz="4" w:space="0" w:color="auto"/>
              <w:left w:val="single" w:sz="4" w:space="0" w:color="auto"/>
              <w:bottom w:val="single" w:sz="4" w:space="0" w:color="auto"/>
              <w:right w:val="single" w:sz="4" w:space="0" w:color="auto"/>
            </w:tcBorders>
            <w:hideMark/>
          </w:tcPr>
          <w:p w14:paraId="1F61E523" w14:textId="77777777" w:rsidR="00210369" w:rsidRDefault="00210369">
            <w:r>
              <w:t>Head of Service – Health &amp; Well-Being</w:t>
            </w:r>
          </w:p>
        </w:tc>
        <w:tc>
          <w:tcPr>
            <w:tcW w:w="2254" w:type="dxa"/>
            <w:tcBorders>
              <w:top w:val="single" w:sz="4" w:space="0" w:color="auto"/>
              <w:left w:val="single" w:sz="4" w:space="0" w:color="auto"/>
              <w:bottom w:val="single" w:sz="4" w:space="0" w:color="auto"/>
              <w:right w:val="single" w:sz="4" w:space="0" w:color="auto"/>
            </w:tcBorders>
            <w:hideMark/>
          </w:tcPr>
          <w:p w14:paraId="09A035ED" w14:textId="77777777" w:rsidR="00210369" w:rsidRDefault="00210369">
            <w:r>
              <w:t>The DASS put forward this post to re-evaluate to HR.  The post holder requested their role be regraded considering them being the strategic lead for integrated services.</w:t>
            </w:r>
          </w:p>
        </w:tc>
        <w:tc>
          <w:tcPr>
            <w:tcW w:w="2254" w:type="dxa"/>
            <w:tcBorders>
              <w:top w:val="single" w:sz="4" w:space="0" w:color="auto"/>
              <w:left w:val="single" w:sz="4" w:space="0" w:color="auto"/>
              <w:bottom w:val="single" w:sz="4" w:space="0" w:color="auto"/>
              <w:right w:val="single" w:sz="4" w:space="0" w:color="auto"/>
            </w:tcBorders>
            <w:hideMark/>
          </w:tcPr>
          <w:p w14:paraId="62418024" w14:textId="77777777" w:rsidR="00210369" w:rsidRDefault="00210369">
            <w:r>
              <w:t>October 2020</w:t>
            </w:r>
          </w:p>
        </w:tc>
        <w:tc>
          <w:tcPr>
            <w:tcW w:w="2254" w:type="dxa"/>
            <w:tcBorders>
              <w:top w:val="single" w:sz="4" w:space="0" w:color="auto"/>
              <w:left w:val="single" w:sz="4" w:space="0" w:color="auto"/>
              <w:bottom w:val="single" w:sz="4" w:space="0" w:color="auto"/>
              <w:right w:val="single" w:sz="4" w:space="0" w:color="auto"/>
            </w:tcBorders>
            <w:hideMark/>
          </w:tcPr>
          <w:p w14:paraId="05DDC404" w14:textId="34F3E486" w:rsidR="00210369" w:rsidRDefault="00210369">
            <w:r>
              <w:t>Assistant Director for Health and Wellbeing and Integrated Care</w:t>
            </w:r>
          </w:p>
        </w:tc>
      </w:tr>
      <w:tr w:rsidR="00210369" w14:paraId="084278AD" w14:textId="77777777" w:rsidTr="00210369">
        <w:tc>
          <w:tcPr>
            <w:tcW w:w="2254" w:type="dxa"/>
            <w:tcBorders>
              <w:top w:val="single" w:sz="4" w:space="0" w:color="auto"/>
              <w:left w:val="single" w:sz="4" w:space="0" w:color="auto"/>
              <w:bottom w:val="single" w:sz="4" w:space="0" w:color="auto"/>
              <w:right w:val="single" w:sz="4" w:space="0" w:color="auto"/>
            </w:tcBorders>
          </w:tcPr>
          <w:p w14:paraId="79EC12F3" w14:textId="7A76935D" w:rsidR="00210369" w:rsidRDefault="00D94712">
            <w:r>
              <w:t>Head of Service -</w:t>
            </w:r>
            <w:r w:rsidR="00210369">
              <w:t xml:space="preserve"> Children’s Access</w:t>
            </w:r>
          </w:p>
          <w:p w14:paraId="709FDBFA" w14:textId="77777777" w:rsidR="00210369" w:rsidRDefault="00210369"/>
        </w:tc>
        <w:tc>
          <w:tcPr>
            <w:tcW w:w="2254" w:type="dxa"/>
            <w:vMerge w:val="restart"/>
            <w:tcBorders>
              <w:top w:val="single" w:sz="4" w:space="0" w:color="auto"/>
              <w:left w:val="single" w:sz="4" w:space="0" w:color="auto"/>
              <w:bottom w:val="single" w:sz="4" w:space="0" w:color="auto"/>
              <w:right w:val="single" w:sz="4" w:space="0" w:color="auto"/>
            </w:tcBorders>
            <w:hideMark/>
          </w:tcPr>
          <w:p w14:paraId="3FC6EEA5" w14:textId="0A820C28" w:rsidR="00210369" w:rsidRDefault="00210369">
            <w:r>
              <w:t xml:space="preserve">The </w:t>
            </w:r>
            <w:r w:rsidR="00D94712">
              <w:t>Director of Children Services (</w:t>
            </w:r>
            <w:r>
              <w:t>DCS</w:t>
            </w:r>
            <w:r w:rsidR="00D94712">
              <w:t>)</w:t>
            </w:r>
            <w:r>
              <w:t xml:space="preserve"> put forward initially these 3 roles to be regraded, considering the roles within Adult Services were regraded to D1 and the post holders advising that </w:t>
            </w:r>
            <w:r>
              <w:lastRenderedPageBreak/>
              <w:t>there have been changes to their roles.</w:t>
            </w:r>
          </w:p>
        </w:tc>
        <w:tc>
          <w:tcPr>
            <w:tcW w:w="2254" w:type="dxa"/>
            <w:vMerge w:val="restart"/>
            <w:tcBorders>
              <w:top w:val="single" w:sz="4" w:space="0" w:color="auto"/>
              <w:left w:val="single" w:sz="4" w:space="0" w:color="auto"/>
              <w:bottom w:val="single" w:sz="4" w:space="0" w:color="auto"/>
              <w:right w:val="single" w:sz="4" w:space="0" w:color="auto"/>
            </w:tcBorders>
          </w:tcPr>
          <w:p w14:paraId="4DBE0E47" w14:textId="77777777" w:rsidR="00210369" w:rsidRDefault="00210369">
            <w:r>
              <w:lastRenderedPageBreak/>
              <w:t>September 2021</w:t>
            </w:r>
          </w:p>
          <w:p w14:paraId="0F368792" w14:textId="77777777" w:rsidR="00210369" w:rsidRDefault="00210369"/>
        </w:tc>
        <w:tc>
          <w:tcPr>
            <w:tcW w:w="2254" w:type="dxa"/>
            <w:tcBorders>
              <w:top w:val="single" w:sz="4" w:space="0" w:color="auto"/>
              <w:left w:val="single" w:sz="4" w:space="0" w:color="auto"/>
              <w:bottom w:val="single" w:sz="4" w:space="0" w:color="auto"/>
              <w:right w:val="single" w:sz="4" w:space="0" w:color="auto"/>
            </w:tcBorders>
            <w:hideMark/>
          </w:tcPr>
          <w:p w14:paraId="39FBB458" w14:textId="77777777" w:rsidR="00210369" w:rsidRDefault="00210369">
            <w:r>
              <w:t>Assistant Director Contact and Assessment</w:t>
            </w:r>
          </w:p>
        </w:tc>
      </w:tr>
      <w:tr w:rsidR="00210369" w14:paraId="31722801" w14:textId="77777777" w:rsidTr="00210369">
        <w:tc>
          <w:tcPr>
            <w:tcW w:w="2254" w:type="dxa"/>
            <w:tcBorders>
              <w:top w:val="single" w:sz="4" w:space="0" w:color="auto"/>
              <w:left w:val="single" w:sz="4" w:space="0" w:color="auto"/>
              <w:bottom w:val="single" w:sz="4" w:space="0" w:color="auto"/>
              <w:right w:val="single" w:sz="4" w:space="0" w:color="auto"/>
            </w:tcBorders>
          </w:tcPr>
          <w:p w14:paraId="791C3D1E" w14:textId="35870AE6" w:rsidR="00210369" w:rsidRDefault="00210369">
            <w:r>
              <w:t>H</w:t>
            </w:r>
            <w:r w:rsidR="00D94712">
              <w:t>ead of Service -</w:t>
            </w:r>
            <w:r>
              <w:t xml:space="preserve"> Children in Need</w:t>
            </w:r>
          </w:p>
          <w:p w14:paraId="4B61918C" w14:textId="77777777" w:rsidR="00210369" w:rsidRDefault="00210369"/>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98631" w14:textId="77777777" w:rsidR="00210369" w:rsidRDefault="00210369">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DF9F0" w14:textId="77777777" w:rsidR="00210369" w:rsidRDefault="00210369">
            <w:pPr>
              <w:rPr>
                <w:sz w:val="22"/>
                <w:szCs w:val="22"/>
              </w:rPr>
            </w:pPr>
          </w:p>
        </w:tc>
        <w:tc>
          <w:tcPr>
            <w:tcW w:w="2254" w:type="dxa"/>
            <w:tcBorders>
              <w:top w:val="single" w:sz="4" w:space="0" w:color="auto"/>
              <w:left w:val="single" w:sz="4" w:space="0" w:color="auto"/>
              <w:bottom w:val="single" w:sz="4" w:space="0" w:color="auto"/>
              <w:right w:val="single" w:sz="4" w:space="0" w:color="auto"/>
            </w:tcBorders>
            <w:hideMark/>
          </w:tcPr>
          <w:p w14:paraId="5BAA5B01" w14:textId="77777777" w:rsidR="00210369" w:rsidRDefault="00210369">
            <w:r>
              <w:t>Assistant Director – Children Safeguarding</w:t>
            </w:r>
          </w:p>
        </w:tc>
      </w:tr>
      <w:tr w:rsidR="00210369" w14:paraId="0CAEBA2E" w14:textId="77777777" w:rsidTr="00210369">
        <w:tc>
          <w:tcPr>
            <w:tcW w:w="2254" w:type="dxa"/>
            <w:tcBorders>
              <w:top w:val="single" w:sz="4" w:space="0" w:color="auto"/>
              <w:left w:val="single" w:sz="4" w:space="0" w:color="auto"/>
              <w:bottom w:val="single" w:sz="4" w:space="0" w:color="auto"/>
              <w:right w:val="single" w:sz="4" w:space="0" w:color="auto"/>
            </w:tcBorders>
            <w:hideMark/>
          </w:tcPr>
          <w:p w14:paraId="037584C2" w14:textId="0AC8BEEF" w:rsidR="00210369" w:rsidRDefault="00210369">
            <w:r>
              <w:t>H</w:t>
            </w:r>
            <w:r w:rsidR="00D94712">
              <w:t>ead of Service -</w:t>
            </w:r>
            <w:r>
              <w:t xml:space="preserve"> Quality Standards and Practice Improvement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2CA83" w14:textId="77777777" w:rsidR="00210369" w:rsidRDefault="00210369">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FDABC" w14:textId="77777777" w:rsidR="00210369" w:rsidRDefault="00210369">
            <w:pPr>
              <w:rPr>
                <w:sz w:val="22"/>
                <w:szCs w:val="22"/>
              </w:rPr>
            </w:pPr>
          </w:p>
        </w:tc>
        <w:tc>
          <w:tcPr>
            <w:tcW w:w="2254" w:type="dxa"/>
            <w:tcBorders>
              <w:top w:val="single" w:sz="4" w:space="0" w:color="auto"/>
              <w:left w:val="single" w:sz="4" w:space="0" w:color="auto"/>
              <w:bottom w:val="single" w:sz="4" w:space="0" w:color="auto"/>
              <w:right w:val="single" w:sz="4" w:space="0" w:color="auto"/>
            </w:tcBorders>
            <w:hideMark/>
          </w:tcPr>
          <w:p w14:paraId="55071B4A" w14:textId="77777777" w:rsidR="00210369" w:rsidRDefault="00210369">
            <w:r>
              <w:t>Assistant Director – Quality Standards and Improvement</w:t>
            </w:r>
          </w:p>
        </w:tc>
      </w:tr>
      <w:tr w:rsidR="00210369" w14:paraId="1C680246" w14:textId="77777777" w:rsidTr="00210369">
        <w:tc>
          <w:tcPr>
            <w:tcW w:w="2254" w:type="dxa"/>
            <w:tcBorders>
              <w:top w:val="single" w:sz="4" w:space="0" w:color="auto"/>
              <w:left w:val="single" w:sz="4" w:space="0" w:color="auto"/>
              <w:bottom w:val="single" w:sz="4" w:space="0" w:color="auto"/>
              <w:right w:val="single" w:sz="4" w:space="0" w:color="auto"/>
            </w:tcBorders>
          </w:tcPr>
          <w:p w14:paraId="26293773" w14:textId="62F4CD46" w:rsidR="00210369" w:rsidRDefault="00210369">
            <w:r>
              <w:t>H</w:t>
            </w:r>
            <w:r w:rsidR="00D94712">
              <w:t>ead of Service -</w:t>
            </w:r>
            <w:r>
              <w:t xml:space="preserve"> Corporate Parenting</w:t>
            </w:r>
          </w:p>
          <w:p w14:paraId="16410E39" w14:textId="77777777" w:rsidR="00210369" w:rsidRDefault="00210369"/>
        </w:tc>
        <w:tc>
          <w:tcPr>
            <w:tcW w:w="2254" w:type="dxa"/>
            <w:vMerge w:val="restart"/>
            <w:tcBorders>
              <w:top w:val="single" w:sz="4" w:space="0" w:color="auto"/>
              <w:left w:val="single" w:sz="4" w:space="0" w:color="auto"/>
              <w:bottom w:val="single" w:sz="4" w:space="0" w:color="auto"/>
              <w:right w:val="single" w:sz="4" w:space="0" w:color="auto"/>
            </w:tcBorders>
            <w:hideMark/>
          </w:tcPr>
          <w:p w14:paraId="58CB5335" w14:textId="77777777" w:rsidR="00210369" w:rsidRDefault="00210369">
            <w:r>
              <w:t>The DCS requested these 2 roles be reassessed, in line with the other HOS within the Children’s division.</w:t>
            </w:r>
          </w:p>
        </w:tc>
        <w:tc>
          <w:tcPr>
            <w:tcW w:w="2254" w:type="dxa"/>
            <w:tcBorders>
              <w:top w:val="single" w:sz="4" w:space="0" w:color="auto"/>
              <w:left w:val="single" w:sz="4" w:space="0" w:color="auto"/>
              <w:bottom w:val="single" w:sz="4" w:space="0" w:color="auto"/>
              <w:right w:val="single" w:sz="4" w:space="0" w:color="auto"/>
            </w:tcBorders>
            <w:hideMark/>
          </w:tcPr>
          <w:p w14:paraId="0B44026E" w14:textId="77777777" w:rsidR="00210369" w:rsidRDefault="00210369">
            <w:r>
              <w:t>October 2021</w:t>
            </w:r>
          </w:p>
        </w:tc>
        <w:tc>
          <w:tcPr>
            <w:tcW w:w="2254" w:type="dxa"/>
            <w:tcBorders>
              <w:top w:val="single" w:sz="4" w:space="0" w:color="auto"/>
              <w:left w:val="single" w:sz="4" w:space="0" w:color="auto"/>
              <w:bottom w:val="single" w:sz="4" w:space="0" w:color="auto"/>
              <w:right w:val="single" w:sz="4" w:space="0" w:color="auto"/>
            </w:tcBorders>
          </w:tcPr>
          <w:p w14:paraId="4B1DF832" w14:textId="77777777" w:rsidR="00210369" w:rsidRDefault="00210369">
            <w:r>
              <w:t>Assistant Director - Corporate Parenting</w:t>
            </w:r>
          </w:p>
          <w:p w14:paraId="57C785E2" w14:textId="77777777" w:rsidR="00210369" w:rsidRDefault="00210369"/>
        </w:tc>
      </w:tr>
      <w:tr w:rsidR="00210369" w14:paraId="45947A39" w14:textId="77777777" w:rsidTr="00210369">
        <w:tc>
          <w:tcPr>
            <w:tcW w:w="2254" w:type="dxa"/>
            <w:tcBorders>
              <w:top w:val="single" w:sz="4" w:space="0" w:color="auto"/>
              <w:left w:val="single" w:sz="4" w:space="0" w:color="auto"/>
              <w:bottom w:val="single" w:sz="4" w:space="0" w:color="auto"/>
              <w:right w:val="single" w:sz="4" w:space="0" w:color="auto"/>
            </w:tcBorders>
          </w:tcPr>
          <w:p w14:paraId="5D2C02BB" w14:textId="30C12781" w:rsidR="00210369" w:rsidRDefault="00210369">
            <w:r>
              <w:t>H</w:t>
            </w:r>
            <w:r w:rsidR="00D94712">
              <w:t>ead of Service -</w:t>
            </w:r>
            <w:r>
              <w:t xml:space="preserve"> Early Help and Youth Justice</w:t>
            </w:r>
          </w:p>
          <w:p w14:paraId="7C71AED3" w14:textId="77777777" w:rsidR="00210369" w:rsidRDefault="00210369"/>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CCE43" w14:textId="77777777" w:rsidR="00210369" w:rsidRDefault="00210369">
            <w:pPr>
              <w:rPr>
                <w:sz w:val="22"/>
                <w:szCs w:val="22"/>
              </w:rPr>
            </w:pPr>
          </w:p>
        </w:tc>
        <w:tc>
          <w:tcPr>
            <w:tcW w:w="2254" w:type="dxa"/>
            <w:tcBorders>
              <w:top w:val="single" w:sz="4" w:space="0" w:color="auto"/>
              <w:left w:val="single" w:sz="4" w:space="0" w:color="auto"/>
              <w:bottom w:val="single" w:sz="4" w:space="0" w:color="auto"/>
              <w:right w:val="single" w:sz="4" w:space="0" w:color="auto"/>
            </w:tcBorders>
            <w:hideMark/>
          </w:tcPr>
          <w:p w14:paraId="0D91B2B0" w14:textId="77777777" w:rsidR="00210369" w:rsidRDefault="00210369">
            <w:r>
              <w:t>October 2021</w:t>
            </w:r>
          </w:p>
        </w:tc>
        <w:tc>
          <w:tcPr>
            <w:tcW w:w="2254" w:type="dxa"/>
            <w:tcBorders>
              <w:top w:val="single" w:sz="4" w:space="0" w:color="auto"/>
              <w:left w:val="single" w:sz="4" w:space="0" w:color="auto"/>
              <w:bottom w:val="single" w:sz="4" w:space="0" w:color="auto"/>
              <w:right w:val="single" w:sz="4" w:space="0" w:color="auto"/>
            </w:tcBorders>
          </w:tcPr>
          <w:p w14:paraId="2980D551" w14:textId="77777777" w:rsidR="00210369" w:rsidRDefault="00210369">
            <w:r>
              <w:t>Assistant Director - Early Help and Youth Justice</w:t>
            </w:r>
          </w:p>
          <w:p w14:paraId="4E8453ED" w14:textId="77777777" w:rsidR="00210369" w:rsidRDefault="00210369"/>
        </w:tc>
      </w:tr>
    </w:tbl>
    <w:p w14:paraId="6C21AF5A" w14:textId="77777777" w:rsidR="00210369" w:rsidRDefault="00210369" w:rsidP="00210369">
      <w:pPr>
        <w:rPr>
          <w:rFonts w:asciiTheme="minorHAnsi" w:hAnsiTheme="minorHAnsi" w:cstheme="minorBidi"/>
          <w:sz w:val="22"/>
          <w:szCs w:val="22"/>
        </w:rPr>
      </w:pPr>
    </w:p>
    <w:p w14:paraId="6350F6F2" w14:textId="77777777" w:rsidR="00210369" w:rsidRDefault="00210369" w:rsidP="00210369"/>
    <w:p w14:paraId="003AD59C" w14:textId="6B8D71AD" w:rsidR="00AB2523" w:rsidRDefault="009F1846" w:rsidP="003D2FFE">
      <w:pPr>
        <w:spacing w:before="240"/>
        <w:rPr>
          <w:rFonts w:ascii="Arial Bold" w:hAnsi="Arial Bold"/>
          <w:bCs/>
          <w:szCs w:val="24"/>
        </w:rPr>
      </w:pPr>
      <w:r>
        <w:rPr>
          <w:rFonts w:ascii="Arial Bold" w:hAnsi="Arial Bold"/>
          <w:bCs/>
          <w:szCs w:val="24"/>
        </w:rPr>
        <w:t xml:space="preserve">Issue for Consideration </w:t>
      </w:r>
    </w:p>
    <w:p w14:paraId="11EF2B61" w14:textId="3C83347C" w:rsidR="00937F5F" w:rsidRDefault="00937F5F" w:rsidP="003D2FFE">
      <w:pPr>
        <w:spacing w:before="240"/>
        <w:rPr>
          <w:rFonts w:cs="Arial"/>
          <w:bCs/>
          <w:szCs w:val="24"/>
        </w:rPr>
      </w:pPr>
      <w:r>
        <w:rPr>
          <w:rFonts w:cs="Arial"/>
          <w:bCs/>
          <w:szCs w:val="24"/>
        </w:rPr>
        <w:t xml:space="preserve">At the time of the re-evaluation, </w:t>
      </w:r>
      <w:r w:rsidR="000152C4">
        <w:rPr>
          <w:rFonts w:cs="Arial"/>
          <w:bCs/>
          <w:szCs w:val="24"/>
        </w:rPr>
        <w:t xml:space="preserve">D1 posts </w:t>
      </w:r>
      <w:r>
        <w:rPr>
          <w:rFonts w:cs="Arial"/>
          <w:bCs/>
          <w:szCs w:val="24"/>
        </w:rPr>
        <w:t xml:space="preserve">were </w:t>
      </w:r>
      <w:r w:rsidR="000152C4">
        <w:rPr>
          <w:rFonts w:cs="Arial"/>
          <w:bCs/>
          <w:szCs w:val="24"/>
        </w:rPr>
        <w:t>paid at between £</w:t>
      </w:r>
      <w:r w:rsidR="00B93D00">
        <w:rPr>
          <w:rFonts w:cs="Arial"/>
          <w:bCs/>
          <w:szCs w:val="24"/>
        </w:rPr>
        <w:t>91,269</w:t>
      </w:r>
      <w:r w:rsidR="00D428ED">
        <w:rPr>
          <w:rFonts w:cs="Arial"/>
          <w:bCs/>
          <w:szCs w:val="24"/>
        </w:rPr>
        <w:t xml:space="preserve"> </w:t>
      </w:r>
      <w:r w:rsidR="000152C4">
        <w:rPr>
          <w:rFonts w:cs="Arial"/>
          <w:bCs/>
          <w:szCs w:val="24"/>
        </w:rPr>
        <w:t>- £10</w:t>
      </w:r>
      <w:r w:rsidR="00B93D00">
        <w:rPr>
          <w:rFonts w:cs="Arial"/>
          <w:bCs/>
          <w:szCs w:val="24"/>
        </w:rPr>
        <w:t>7</w:t>
      </w:r>
      <w:r w:rsidR="000152C4">
        <w:rPr>
          <w:rFonts w:cs="Arial"/>
          <w:bCs/>
          <w:szCs w:val="24"/>
        </w:rPr>
        <w:t>,</w:t>
      </w:r>
      <w:r w:rsidR="00B93D00">
        <w:rPr>
          <w:rFonts w:cs="Arial"/>
          <w:bCs/>
          <w:szCs w:val="24"/>
        </w:rPr>
        <w:t>264</w:t>
      </w:r>
      <w:r>
        <w:rPr>
          <w:rFonts w:cs="Arial"/>
          <w:bCs/>
          <w:szCs w:val="24"/>
        </w:rPr>
        <w:t>.  The Constitution requires that the approval of this Panel is required before remuneration packages over £100,000 are agreed for any Council post, but this approval was not sought</w:t>
      </w:r>
      <w:r w:rsidR="00D428ED">
        <w:rPr>
          <w:rFonts w:cs="Arial"/>
          <w:bCs/>
          <w:szCs w:val="24"/>
        </w:rPr>
        <w:t xml:space="preserve"> in relation to these posts</w:t>
      </w:r>
      <w:r>
        <w:rPr>
          <w:rFonts w:cs="Arial"/>
          <w:bCs/>
          <w:szCs w:val="24"/>
        </w:rPr>
        <w:t xml:space="preserve">. </w:t>
      </w:r>
    </w:p>
    <w:p w14:paraId="4D523ADB" w14:textId="77777777" w:rsidR="00C50D60" w:rsidRDefault="00C50D60" w:rsidP="003D2FFE">
      <w:pPr>
        <w:spacing w:before="240"/>
        <w:rPr>
          <w:rFonts w:cs="Arial"/>
          <w:bCs/>
          <w:szCs w:val="24"/>
        </w:rPr>
      </w:pPr>
      <w:r>
        <w:rPr>
          <w:rFonts w:cs="Arial"/>
          <w:bCs/>
          <w:szCs w:val="24"/>
        </w:rPr>
        <w:t>Following completion of the job evaluation process, new contracts of employment were issued to the post holders reflecting their new pay scale.</w:t>
      </w:r>
    </w:p>
    <w:p w14:paraId="0F5C5CD8" w14:textId="77777777" w:rsidR="00C50D60" w:rsidRPr="00C50D60" w:rsidRDefault="00C50D60" w:rsidP="003D2FFE">
      <w:pPr>
        <w:spacing w:before="240"/>
        <w:rPr>
          <w:rFonts w:cs="Arial"/>
          <w:b/>
          <w:szCs w:val="24"/>
        </w:rPr>
      </w:pPr>
      <w:r w:rsidRPr="00C50D60">
        <w:rPr>
          <w:rFonts w:cs="Arial"/>
          <w:b/>
          <w:szCs w:val="24"/>
        </w:rPr>
        <w:t>Options</w:t>
      </w:r>
    </w:p>
    <w:p w14:paraId="4D912492" w14:textId="77777777" w:rsidR="00C50D60" w:rsidRDefault="00C50D60" w:rsidP="003D2FFE">
      <w:pPr>
        <w:spacing w:before="240"/>
        <w:rPr>
          <w:rFonts w:cs="Arial"/>
          <w:bCs/>
          <w:szCs w:val="24"/>
        </w:rPr>
      </w:pPr>
      <w:r>
        <w:rPr>
          <w:rFonts w:cs="Arial"/>
          <w:bCs/>
          <w:szCs w:val="24"/>
        </w:rPr>
        <w:t>Given post holders have been issued with new contracts, there is nothing the Panel can now do except to correct the earlier omission and approve the salary packages for these posts, which the Panel is recommended now to do.</w:t>
      </w:r>
    </w:p>
    <w:p w14:paraId="19B05FEA" w14:textId="77777777" w:rsidR="00C50D60" w:rsidRPr="00C50D60" w:rsidRDefault="00C50D60" w:rsidP="003D2FFE">
      <w:pPr>
        <w:spacing w:before="240"/>
        <w:rPr>
          <w:rFonts w:cs="Arial"/>
          <w:b/>
          <w:szCs w:val="24"/>
        </w:rPr>
      </w:pPr>
      <w:r w:rsidRPr="00C50D60">
        <w:rPr>
          <w:rFonts w:cs="Arial"/>
          <w:b/>
          <w:szCs w:val="24"/>
        </w:rPr>
        <w:t>Future Role of the Panel</w:t>
      </w:r>
    </w:p>
    <w:p w14:paraId="2BB2C90A" w14:textId="0BCCC93A" w:rsidR="00C50D60" w:rsidRDefault="00C50D60" w:rsidP="003D2FFE">
      <w:pPr>
        <w:spacing w:before="240"/>
        <w:rPr>
          <w:rFonts w:cs="Arial"/>
          <w:bCs/>
          <w:szCs w:val="24"/>
        </w:rPr>
      </w:pPr>
      <w:r>
        <w:rPr>
          <w:rFonts w:cs="Arial"/>
          <w:bCs/>
          <w:szCs w:val="24"/>
        </w:rPr>
        <w:t>Both the Corporate Board and Human Resources Department have now been instructed on the role of this Panel, to avoid any future omissions</w:t>
      </w:r>
      <w:r w:rsidR="00F85728">
        <w:rPr>
          <w:rFonts w:cs="Arial"/>
          <w:bCs/>
          <w:szCs w:val="24"/>
        </w:rPr>
        <w:t xml:space="preserve"> of the sort set out above. </w:t>
      </w:r>
      <w:r>
        <w:rPr>
          <w:rFonts w:cs="Arial"/>
          <w:bCs/>
          <w:szCs w:val="24"/>
        </w:rPr>
        <w:t xml:space="preserve">   </w:t>
      </w:r>
    </w:p>
    <w:p w14:paraId="1B30D936" w14:textId="11B91FC2" w:rsidR="007C7D47" w:rsidRPr="006B262F" w:rsidRDefault="007C7D47" w:rsidP="0078692D">
      <w:pPr>
        <w:rPr>
          <w:b/>
          <w:bCs/>
        </w:rPr>
      </w:pPr>
      <w:r w:rsidRPr="006B262F">
        <w:rPr>
          <w:b/>
          <w:bCs/>
        </w:rPr>
        <w:tab/>
      </w:r>
      <w:r w:rsidRPr="006B262F">
        <w:rPr>
          <w:b/>
          <w:bCs/>
        </w:rPr>
        <w:tab/>
      </w:r>
      <w:r w:rsidRPr="006B262F">
        <w:rPr>
          <w:b/>
          <w:bCs/>
        </w:rPr>
        <w:tab/>
      </w:r>
      <w:r w:rsidRPr="006B262F">
        <w:rPr>
          <w:b/>
          <w:bCs/>
        </w:rPr>
        <w:tab/>
        <w:t xml:space="preserve">   </w:t>
      </w:r>
    </w:p>
    <w:p w14:paraId="27D5EA68" w14:textId="77777777" w:rsidR="003134CF" w:rsidRDefault="002A2389" w:rsidP="00C304CA">
      <w:pPr>
        <w:pStyle w:val="Heading4"/>
        <w:rPr>
          <w:sz w:val="24"/>
          <w:szCs w:val="24"/>
        </w:rPr>
      </w:pPr>
      <w:r w:rsidRPr="00AE72E5">
        <w:rPr>
          <w:sz w:val="24"/>
          <w:szCs w:val="24"/>
        </w:rPr>
        <w:t>Staffing/workforce</w:t>
      </w:r>
    </w:p>
    <w:p w14:paraId="421D59E3" w14:textId="4F4E3110" w:rsidR="000D2BE2" w:rsidRPr="007401D8" w:rsidRDefault="007C1F10" w:rsidP="007401D8">
      <w:pPr>
        <w:pStyle w:val="Heading4"/>
        <w:rPr>
          <w:b w:val="0"/>
          <w:bCs/>
          <w:sz w:val="24"/>
          <w:szCs w:val="24"/>
        </w:rPr>
      </w:pPr>
      <w:r>
        <w:rPr>
          <w:b w:val="0"/>
          <w:bCs/>
          <w:sz w:val="24"/>
          <w:szCs w:val="24"/>
        </w:rPr>
        <w:t xml:space="preserve">This report seeks to correct a governance </w:t>
      </w:r>
      <w:r w:rsidR="00B8301F">
        <w:rPr>
          <w:b w:val="0"/>
          <w:bCs/>
          <w:sz w:val="24"/>
          <w:szCs w:val="24"/>
        </w:rPr>
        <w:t xml:space="preserve">irregularity </w:t>
      </w:r>
      <w:r>
        <w:rPr>
          <w:b w:val="0"/>
          <w:bCs/>
          <w:sz w:val="24"/>
          <w:szCs w:val="24"/>
        </w:rPr>
        <w:t xml:space="preserve">and does not impact on the post holders. </w:t>
      </w:r>
      <w:r w:rsidR="003134CF">
        <w:rPr>
          <w:b w:val="0"/>
          <w:bCs/>
          <w:sz w:val="24"/>
          <w:szCs w:val="24"/>
        </w:rPr>
        <w:t xml:space="preserve"> </w:t>
      </w:r>
    </w:p>
    <w:p w14:paraId="5925E889" w14:textId="02C50021" w:rsidR="002A2389" w:rsidRPr="00AE72E5" w:rsidRDefault="002A2389" w:rsidP="00B56185">
      <w:pPr>
        <w:pStyle w:val="Heading4"/>
        <w:rPr>
          <w:sz w:val="24"/>
          <w:szCs w:val="24"/>
        </w:rPr>
      </w:pPr>
      <w:r w:rsidRPr="00AE72E5">
        <w:rPr>
          <w:sz w:val="24"/>
          <w:szCs w:val="24"/>
        </w:rPr>
        <w:t>Equalities impact</w:t>
      </w:r>
    </w:p>
    <w:p w14:paraId="71F9BB20" w14:textId="7D155E92" w:rsidR="00AE72E5" w:rsidRDefault="000D2BE2" w:rsidP="00B56185">
      <w:r w:rsidRPr="00AE72E5">
        <w:t>There are no direct equalities impacts a</w:t>
      </w:r>
      <w:r w:rsidR="00F025D7">
        <w:t>rising from this report</w:t>
      </w:r>
      <w:r w:rsidRPr="00AE72E5">
        <w:t xml:space="preserve">. </w:t>
      </w:r>
    </w:p>
    <w:p w14:paraId="5616BAD9" w14:textId="77777777" w:rsidR="00D94712" w:rsidRDefault="00D94712" w:rsidP="00213BE7">
      <w:pPr>
        <w:pStyle w:val="Heading2"/>
        <w:rPr>
          <w:sz w:val="24"/>
          <w:szCs w:val="24"/>
        </w:rPr>
      </w:pPr>
    </w:p>
    <w:p w14:paraId="5F859CB3" w14:textId="77777777" w:rsidR="00D94712" w:rsidRDefault="00D94712" w:rsidP="00213BE7">
      <w:pPr>
        <w:pStyle w:val="Heading2"/>
        <w:rPr>
          <w:sz w:val="24"/>
          <w:szCs w:val="24"/>
        </w:rPr>
      </w:pPr>
    </w:p>
    <w:p w14:paraId="3469E0D9" w14:textId="410B09D9" w:rsidR="00213BE7" w:rsidRPr="00D57A71" w:rsidRDefault="00213BE7" w:rsidP="00213BE7">
      <w:pPr>
        <w:pStyle w:val="Heading2"/>
        <w:rPr>
          <w:sz w:val="24"/>
          <w:szCs w:val="24"/>
        </w:rPr>
      </w:pPr>
      <w:r w:rsidRPr="00D57A71">
        <w:rPr>
          <w:sz w:val="24"/>
          <w:szCs w:val="24"/>
        </w:rPr>
        <w:lastRenderedPageBreak/>
        <w:t>Legal Implications</w:t>
      </w:r>
    </w:p>
    <w:p w14:paraId="42FCC7B7" w14:textId="77777777" w:rsidR="000D2BE2" w:rsidRPr="000D2BE2" w:rsidRDefault="000D2BE2" w:rsidP="000D2BE2"/>
    <w:p w14:paraId="105E965E" w14:textId="0C617B9B" w:rsidR="00FE5A4C" w:rsidRDefault="00FE5A4C" w:rsidP="000A6659">
      <w:pPr>
        <w:pStyle w:val="Heading4"/>
        <w:rPr>
          <w:b w:val="0"/>
          <w:sz w:val="24"/>
          <w:szCs w:val="18"/>
        </w:rPr>
      </w:pPr>
      <w:r>
        <w:rPr>
          <w:b w:val="0"/>
          <w:sz w:val="24"/>
          <w:szCs w:val="18"/>
        </w:rPr>
        <w:t>The postholders have been issued with new contracts of employment reflecting their new D1 grades, which a</w:t>
      </w:r>
      <w:r w:rsidR="007E1EDC">
        <w:rPr>
          <w:b w:val="0"/>
          <w:sz w:val="24"/>
          <w:szCs w:val="18"/>
        </w:rPr>
        <w:t>re</w:t>
      </w:r>
      <w:r>
        <w:rPr>
          <w:b w:val="0"/>
          <w:sz w:val="24"/>
          <w:szCs w:val="18"/>
        </w:rPr>
        <w:t xml:space="preserve"> binding on both </w:t>
      </w:r>
      <w:r w:rsidR="007E1EDC">
        <w:rPr>
          <w:b w:val="0"/>
          <w:sz w:val="24"/>
          <w:szCs w:val="18"/>
        </w:rPr>
        <w:t>the individual</w:t>
      </w:r>
      <w:r w:rsidR="00693E19">
        <w:rPr>
          <w:b w:val="0"/>
          <w:sz w:val="24"/>
          <w:szCs w:val="18"/>
        </w:rPr>
        <w:t>s</w:t>
      </w:r>
      <w:r w:rsidR="007E1EDC">
        <w:rPr>
          <w:b w:val="0"/>
          <w:sz w:val="24"/>
          <w:szCs w:val="18"/>
        </w:rPr>
        <w:t xml:space="preserve"> and the Council</w:t>
      </w:r>
      <w:r>
        <w:rPr>
          <w:b w:val="0"/>
          <w:sz w:val="24"/>
          <w:szCs w:val="18"/>
        </w:rPr>
        <w:t xml:space="preserve">. </w:t>
      </w:r>
    </w:p>
    <w:p w14:paraId="41BB405D" w14:textId="09721760" w:rsidR="002A2389" w:rsidRPr="00D57A71" w:rsidRDefault="00FE5A4C" w:rsidP="003D2FFE">
      <w:pPr>
        <w:pStyle w:val="Heading2"/>
        <w:spacing w:after="240"/>
        <w:rPr>
          <w:sz w:val="24"/>
          <w:szCs w:val="24"/>
        </w:rPr>
      </w:pPr>
      <w:r w:rsidRPr="00D57A71">
        <w:rPr>
          <w:sz w:val="24"/>
          <w:szCs w:val="24"/>
        </w:rPr>
        <w:t>F</w:t>
      </w:r>
      <w:r w:rsidR="002A2389" w:rsidRPr="00D57A71">
        <w:rPr>
          <w:sz w:val="24"/>
          <w:szCs w:val="24"/>
        </w:rPr>
        <w:t>inancial Implications</w:t>
      </w:r>
    </w:p>
    <w:p w14:paraId="4B97DF89" w14:textId="01F69F8C" w:rsidR="00503694" w:rsidRDefault="0094077A">
      <w:r>
        <w:t xml:space="preserve">For the two posts in Adult Services, there is budget provision.  For the 5 posts in the Children’s Service, there is no budget provision.  The posts are held against the management budget which is forecasting a budget pressure of £150k as at quarter 2, which feeds into the overall forecast overspend against the Children’s budget of £1.874m. </w:t>
      </w:r>
    </w:p>
    <w:p w14:paraId="5ACE80EE" w14:textId="5334C49F" w:rsidR="00C32DAE" w:rsidRPr="00D57A71" w:rsidRDefault="00C32DAE" w:rsidP="003D2FFE">
      <w:pPr>
        <w:pStyle w:val="Heading2"/>
        <w:spacing w:after="240"/>
        <w:rPr>
          <w:sz w:val="24"/>
          <w:szCs w:val="24"/>
        </w:rPr>
      </w:pPr>
      <w:r w:rsidRPr="00D57A71">
        <w:rPr>
          <w:sz w:val="24"/>
          <w:szCs w:val="24"/>
        </w:rPr>
        <w:t>Risk Management Implications</w:t>
      </w:r>
    </w:p>
    <w:p w14:paraId="66589F52" w14:textId="54797BA8" w:rsidR="00570F59" w:rsidRPr="00570F59" w:rsidRDefault="00570F59" w:rsidP="00570F59">
      <w:pPr>
        <w:textAlignment w:val="baseline"/>
        <w:rPr>
          <w:rFonts w:ascii="Segoe UI" w:hAnsi="Segoe UI" w:cs="Segoe UI"/>
          <w:sz w:val="18"/>
          <w:szCs w:val="18"/>
          <w:lang w:eastAsia="en-GB"/>
        </w:rPr>
      </w:pPr>
    </w:p>
    <w:p w14:paraId="1B2B00BD" w14:textId="412AEDE0" w:rsidR="00570F59" w:rsidRPr="00570F59" w:rsidRDefault="00570F59" w:rsidP="007401D8">
      <w:pPr>
        <w:textAlignment w:val="baseline"/>
        <w:rPr>
          <w:rFonts w:ascii="Segoe UI" w:hAnsi="Segoe UI" w:cs="Segoe UI"/>
          <w:sz w:val="18"/>
          <w:szCs w:val="18"/>
          <w:lang w:eastAsia="en-GB"/>
        </w:rPr>
      </w:pPr>
      <w:r w:rsidRPr="00570F59">
        <w:rPr>
          <w:rFonts w:cs="Arial"/>
          <w:szCs w:val="24"/>
          <w:lang w:eastAsia="en-GB"/>
        </w:rPr>
        <w:t xml:space="preserve">The </w:t>
      </w:r>
      <w:r w:rsidR="00381D5E">
        <w:rPr>
          <w:rFonts w:cs="Arial"/>
          <w:szCs w:val="24"/>
          <w:lang w:eastAsia="en-GB"/>
        </w:rPr>
        <w:t>risk of future irregularities has been addressed by the instructions about the role of this Panel noted above.</w:t>
      </w:r>
    </w:p>
    <w:p w14:paraId="44D33D1F" w14:textId="77777777" w:rsidR="00FD31A0" w:rsidRPr="00D13ACD" w:rsidRDefault="00FD31A0" w:rsidP="003D2FFE">
      <w:pPr>
        <w:pStyle w:val="Heading2"/>
        <w:keepNext/>
        <w:spacing w:after="240"/>
        <w:rPr>
          <w:sz w:val="24"/>
          <w:szCs w:val="24"/>
        </w:rPr>
      </w:pPr>
      <w:r w:rsidRPr="00D13ACD">
        <w:rPr>
          <w:sz w:val="24"/>
          <w:szCs w:val="24"/>
        </w:rPr>
        <w:t>Equalities implications</w:t>
      </w:r>
      <w:r w:rsidR="00213BE7" w:rsidRPr="00D13ACD">
        <w:rPr>
          <w:sz w:val="24"/>
          <w:szCs w:val="24"/>
        </w:rPr>
        <w:t xml:space="preserve"> / Public Sector Equality Duty </w:t>
      </w:r>
    </w:p>
    <w:p w14:paraId="76DCB596" w14:textId="6B4DC97B" w:rsidR="00FD31A0" w:rsidRPr="004A2543" w:rsidRDefault="00FD31A0" w:rsidP="00FD31A0">
      <w:r w:rsidRPr="004A2543">
        <w:t xml:space="preserve">Was an Equality Impact Assessment carried out?  </w:t>
      </w:r>
      <w:r>
        <w:t xml:space="preserve">No </w:t>
      </w:r>
    </w:p>
    <w:p w14:paraId="11BF41CC" w14:textId="77777777" w:rsidR="002A2389" w:rsidRPr="00D13ACD" w:rsidRDefault="002A2389" w:rsidP="00912904">
      <w:pPr>
        <w:pStyle w:val="Heading2"/>
        <w:rPr>
          <w:sz w:val="24"/>
          <w:szCs w:val="24"/>
        </w:rPr>
      </w:pPr>
      <w:r w:rsidRPr="00D13ACD">
        <w:rPr>
          <w:sz w:val="24"/>
          <w:szCs w:val="24"/>
        </w:rPr>
        <w:t>Section 3 - Statutory Officer Clearance</w:t>
      </w:r>
    </w:p>
    <w:p w14:paraId="077143F8" w14:textId="77777777" w:rsidR="002A2389" w:rsidRDefault="002A2389" w:rsidP="008D1750">
      <w:pPr>
        <w:keepNext/>
        <w:rPr>
          <w:rFonts w:cs="Arial"/>
        </w:rPr>
      </w:pPr>
    </w:p>
    <w:p w14:paraId="1F493ADE" w14:textId="2A6534EF" w:rsidR="00912904" w:rsidRPr="00A66326" w:rsidRDefault="00912904" w:rsidP="00912904">
      <w:pPr>
        <w:rPr>
          <w:sz w:val="28"/>
        </w:rPr>
      </w:pPr>
      <w:r w:rsidRPr="00A66326">
        <w:rPr>
          <w:b/>
          <w:sz w:val="28"/>
        </w:rPr>
        <w:t xml:space="preserve">Statutory Officer:  </w:t>
      </w:r>
      <w:r w:rsidR="00853431">
        <w:rPr>
          <w:b/>
          <w:sz w:val="28"/>
        </w:rPr>
        <w:t xml:space="preserve">DAWN CALVERT </w:t>
      </w:r>
    </w:p>
    <w:p w14:paraId="57640BD9" w14:textId="77172288" w:rsidR="00912904" w:rsidRPr="00A66326" w:rsidRDefault="00912904" w:rsidP="00912904">
      <w:r w:rsidRPr="00A66326">
        <w:t>Signed by the Chief Financial Officer</w:t>
      </w:r>
    </w:p>
    <w:p w14:paraId="34275C53" w14:textId="54AAAF14" w:rsidR="00912904" w:rsidRPr="002548D1" w:rsidRDefault="00912904" w:rsidP="00912904">
      <w:pPr>
        <w:ind w:left="360" w:hanging="360"/>
        <w:jc w:val="both"/>
        <w:rPr>
          <w:rFonts w:cs="Arial"/>
          <w:color w:val="FF0000"/>
        </w:rPr>
      </w:pPr>
    </w:p>
    <w:p w14:paraId="650DA37B" w14:textId="77777777" w:rsidR="00912904" w:rsidRPr="00A66326" w:rsidRDefault="00912904" w:rsidP="00912904">
      <w:pPr>
        <w:rPr>
          <w:sz w:val="28"/>
        </w:rPr>
      </w:pPr>
    </w:p>
    <w:p w14:paraId="5745A2E3" w14:textId="07F2A86D" w:rsidR="00912904" w:rsidRPr="00A66326" w:rsidRDefault="00912904" w:rsidP="00912904">
      <w:pPr>
        <w:spacing w:after="480"/>
        <w:rPr>
          <w:sz w:val="28"/>
        </w:rPr>
      </w:pPr>
      <w:r w:rsidRPr="00A66326">
        <w:rPr>
          <w:b/>
          <w:sz w:val="28"/>
        </w:rPr>
        <w:t xml:space="preserve">Date:  </w:t>
      </w:r>
      <w:r w:rsidR="00853431">
        <w:rPr>
          <w:b/>
          <w:sz w:val="28"/>
        </w:rPr>
        <w:t>29/11/2022</w:t>
      </w:r>
    </w:p>
    <w:p w14:paraId="2586CC50" w14:textId="00066E17" w:rsidR="00912904" w:rsidRPr="00A66326" w:rsidRDefault="00912904" w:rsidP="00912904">
      <w:pPr>
        <w:rPr>
          <w:sz w:val="28"/>
        </w:rPr>
      </w:pPr>
      <w:r w:rsidRPr="00A66326">
        <w:rPr>
          <w:b/>
          <w:sz w:val="28"/>
        </w:rPr>
        <w:t xml:space="preserve">Statutory Officer:  </w:t>
      </w:r>
      <w:r w:rsidR="00B43DFD">
        <w:rPr>
          <w:b/>
          <w:sz w:val="28"/>
        </w:rPr>
        <w:t>HUGH PEART</w:t>
      </w:r>
    </w:p>
    <w:p w14:paraId="3F58D77A" w14:textId="4EC3AC12" w:rsidR="00912904" w:rsidRPr="00A66326" w:rsidRDefault="00912904" w:rsidP="00912904">
      <w:r w:rsidRPr="00A66326">
        <w:t>Signed</w:t>
      </w:r>
      <w:r w:rsidR="00853431" w:rsidRPr="00A66326">
        <w:t xml:space="preserve"> </w:t>
      </w:r>
      <w:r w:rsidRPr="00A66326">
        <w:t>by the Monitoring Officer</w:t>
      </w:r>
    </w:p>
    <w:p w14:paraId="4E4F48EC" w14:textId="4A7DBCBA" w:rsidR="00912904" w:rsidRPr="002548D1" w:rsidRDefault="00912904" w:rsidP="00912904">
      <w:pPr>
        <w:ind w:left="360" w:hanging="360"/>
        <w:jc w:val="both"/>
        <w:rPr>
          <w:rFonts w:cs="Arial"/>
          <w:color w:val="FF0000"/>
        </w:rPr>
      </w:pPr>
    </w:p>
    <w:p w14:paraId="52AD6B43" w14:textId="77777777" w:rsidR="00912904" w:rsidRPr="00A66326" w:rsidRDefault="00912904" w:rsidP="00912904">
      <w:pPr>
        <w:rPr>
          <w:sz w:val="28"/>
        </w:rPr>
      </w:pPr>
    </w:p>
    <w:p w14:paraId="61F8C7E6" w14:textId="6189FBD0" w:rsidR="00912904" w:rsidRPr="003313EA" w:rsidRDefault="00912904" w:rsidP="00D94712">
      <w:pPr>
        <w:spacing w:after="480"/>
        <w:rPr>
          <w:sz w:val="28"/>
        </w:rPr>
      </w:pPr>
      <w:r w:rsidRPr="00A66326">
        <w:rPr>
          <w:b/>
          <w:sz w:val="28"/>
        </w:rPr>
        <w:t xml:space="preserve">Date:  </w:t>
      </w:r>
      <w:r w:rsidR="00B43DFD">
        <w:rPr>
          <w:b/>
          <w:sz w:val="28"/>
        </w:rPr>
        <w:t>30/11/2022</w:t>
      </w:r>
    </w:p>
    <w:p w14:paraId="2019A53D" w14:textId="6F2F81CD" w:rsidR="00912904" w:rsidRPr="00A66326" w:rsidRDefault="004A4A1D" w:rsidP="00912904">
      <w:pPr>
        <w:rPr>
          <w:sz w:val="28"/>
        </w:rPr>
      </w:pPr>
      <w:r>
        <w:rPr>
          <w:b/>
          <w:sz w:val="28"/>
        </w:rPr>
        <w:t>Chief</w:t>
      </w:r>
      <w:r w:rsidR="00912904" w:rsidRPr="00A66326">
        <w:rPr>
          <w:b/>
          <w:sz w:val="28"/>
        </w:rPr>
        <w:t xml:space="preserve"> Officer:  </w:t>
      </w:r>
      <w:r w:rsidR="00AB2FCE">
        <w:rPr>
          <w:b/>
          <w:sz w:val="28"/>
        </w:rPr>
        <w:t>SENEL ARKUT</w:t>
      </w:r>
    </w:p>
    <w:p w14:paraId="12E4D11B" w14:textId="77777777" w:rsidR="00912904" w:rsidRPr="00A66326" w:rsidRDefault="00365D29" w:rsidP="00912904">
      <w:r>
        <w:t>Signed</w:t>
      </w:r>
      <w:r w:rsidR="00912904" w:rsidRPr="00A66326">
        <w:t xml:space="preserve"> by the Corporate Director</w:t>
      </w:r>
    </w:p>
    <w:p w14:paraId="6F36B845" w14:textId="77777777" w:rsidR="00912904" w:rsidRPr="00A66326" w:rsidRDefault="00912904" w:rsidP="00912904">
      <w:pPr>
        <w:rPr>
          <w:sz w:val="28"/>
        </w:rPr>
      </w:pPr>
    </w:p>
    <w:p w14:paraId="21482980" w14:textId="3CA9E308" w:rsidR="00912904" w:rsidRPr="00A66326" w:rsidRDefault="00912904" w:rsidP="00912904">
      <w:pPr>
        <w:spacing w:after="480"/>
        <w:rPr>
          <w:sz w:val="28"/>
        </w:rPr>
      </w:pPr>
      <w:r w:rsidRPr="00A66326">
        <w:rPr>
          <w:b/>
          <w:sz w:val="28"/>
        </w:rPr>
        <w:t xml:space="preserve">Date:  </w:t>
      </w:r>
      <w:r w:rsidR="00AB2FCE">
        <w:rPr>
          <w:b/>
          <w:sz w:val="28"/>
        </w:rPr>
        <w:t>24/11/22</w:t>
      </w:r>
    </w:p>
    <w:p w14:paraId="629F8205" w14:textId="77777777" w:rsidR="002A2389" w:rsidRPr="00310C8E" w:rsidRDefault="002A2389" w:rsidP="00912904">
      <w:pPr>
        <w:pStyle w:val="Heading2"/>
        <w:keepNext/>
        <w:spacing w:after="240"/>
        <w:rPr>
          <w:sz w:val="24"/>
          <w:szCs w:val="24"/>
        </w:rPr>
      </w:pPr>
      <w:r w:rsidRPr="00310C8E">
        <w:rPr>
          <w:sz w:val="24"/>
          <w:szCs w:val="24"/>
        </w:rPr>
        <w:lastRenderedPageBreak/>
        <w:t>Section 4 - Contact Details and Background Papers</w:t>
      </w:r>
    </w:p>
    <w:p w14:paraId="1C4BF2D4" w14:textId="60E141AA" w:rsidR="002A2389" w:rsidRDefault="002A2389">
      <w:pPr>
        <w:pStyle w:val="Infotext"/>
      </w:pPr>
      <w:r w:rsidRPr="00D914D2">
        <w:rPr>
          <w:b/>
        </w:rPr>
        <w:t>Contact:</w:t>
      </w:r>
      <w:r>
        <w:t xml:space="preserve">  </w:t>
      </w:r>
      <w:r w:rsidR="00310C8E">
        <w:t xml:space="preserve">Senel Arkut </w:t>
      </w:r>
      <w:r w:rsidR="000557E3">
        <w:rPr>
          <w:rFonts w:cs="Arial"/>
          <w:sz w:val="24"/>
        </w:rPr>
        <w:t xml:space="preserve">Corporate Director </w:t>
      </w:r>
      <w:r w:rsidR="00310C8E">
        <w:rPr>
          <w:rFonts w:cs="Arial"/>
          <w:sz w:val="24"/>
        </w:rPr>
        <w:t>People</w:t>
      </w:r>
    </w:p>
    <w:p w14:paraId="28AF6FE8" w14:textId="5762F345" w:rsidR="002A2389" w:rsidRDefault="002A2389" w:rsidP="00912904">
      <w:pPr>
        <w:pStyle w:val="Infotext"/>
        <w:spacing w:before="360"/>
      </w:pPr>
      <w:r w:rsidRPr="00D914D2">
        <w:rPr>
          <w:b/>
        </w:rPr>
        <w:t>Background Papers</w:t>
      </w:r>
      <w:r>
        <w:t xml:space="preserve">:  </w:t>
      </w:r>
      <w:r w:rsidR="000557E3">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5333" w14:textId="77777777" w:rsidR="007A1F98" w:rsidRDefault="007A1F98">
      <w:r>
        <w:separator/>
      </w:r>
    </w:p>
  </w:endnote>
  <w:endnote w:type="continuationSeparator" w:id="0">
    <w:p w14:paraId="16796C05" w14:textId="77777777" w:rsidR="007A1F98" w:rsidRDefault="007A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3389" w14:textId="77777777" w:rsidR="007A1F98" w:rsidRDefault="007A1F98">
      <w:r>
        <w:separator/>
      </w:r>
    </w:p>
  </w:footnote>
  <w:footnote w:type="continuationSeparator" w:id="0">
    <w:p w14:paraId="240D9C8B" w14:textId="77777777" w:rsidR="007A1F98" w:rsidRDefault="007A1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158B5"/>
    <w:multiLevelType w:val="hybridMultilevel"/>
    <w:tmpl w:val="C1126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3ED40A86"/>
    <w:multiLevelType w:val="hybridMultilevel"/>
    <w:tmpl w:val="CBCC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6419B"/>
    <w:multiLevelType w:val="hybridMultilevel"/>
    <w:tmpl w:val="26FCE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A6C6A"/>
    <w:multiLevelType w:val="hybridMultilevel"/>
    <w:tmpl w:val="CE9854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1F79C6"/>
    <w:multiLevelType w:val="hybridMultilevel"/>
    <w:tmpl w:val="04B6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BD5905"/>
    <w:multiLevelType w:val="hybridMultilevel"/>
    <w:tmpl w:val="9BFCA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5"/>
  </w:num>
  <w:num w:numId="9">
    <w:abstractNumId w:val="4"/>
  </w:num>
  <w:num w:numId="10">
    <w:abstractNumId w:val="17"/>
  </w:num>
  <w:num w:numId="11">
    <w:abstractNumId w:val="22"/>
  </w:num>
  <w:num w:numId="12">
    <w:abstractNumId w:val="14"/>
  </w:num>
  <w:num w:numId="13">
    <w:abstractNumId w:val="2"/>
  </w:num>
  <w:num w:numId="14">
    <w:abstractNumId w:val="6"/>
  </w:num>
  <w:num w:numId="15">
    <w:abstractNumId w:val="12"/>
  </w:num>
  <w:num w:numId="16">
    <w:abstractNumId w:val="10"/>
  </w:num>
  <w:num w:numId="17">
    <w:abstractNumId w:val="20"/>
  </w:num>
  <w:num w:numId="18">
    <w:abstractNumId w:val="0"/>
  </w:num>
  <w:num w:numId="19">
    <w:abstractNumId w:val="21"/>
  </w:num>
  <w:num w:numId="20">
    <w:abstractNumId w:val="15"/>
  </w:num>
  <w:num w:numId="21">
    <w:abstractNumId w:val="9"/>
  </w:num>
  <w:num w:numId="22">
    <w:abstractNumId w:val="3"/>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52C4"/>
    <w:rsid w:val="00017EF8"/>
    <w:rsid w:val="00023F4C"/>
    <w:rsid w:val="00036CA5"/>
    <w:rsid w:val="000557E3"/>
    <w:rsid w:val="00057F10"/>
    <w:rsid w:val="00060959"/>
    <w:rsid w:val="000633A2"/>
    <w:rsid w:val="00071EB4"/>
    <w:rsid w:val="00072547"/>
    <w:rsid w:val="00075CE2"/>
    <w:rsid w:val="00077298"/>
    <w:rsid w:val="00087BB9"/>
    <w:rsid w:val="000A58A1"/>
    <w:rsid w:val="000A6659"/>
    <w:rsid w:val="000B0E6F"/>
    <w:rsid w:val="000B3FFF"/>
    <w:rsid w:val="000B6DBB"/>
    <w:rsid w:val="000D0B79"/>
    <w:rsid w:val="000D2BE2"/>
    <w:rsid w:val="000D2BF2"/>
    <w:rsid w:val="000D5870"/>
    <w:rsid w:val="000F65C0"/>
    <w:rsid w:val="00132EBC"/>
    <w:rsid w:val="001577AD"/>
    <w:rsid w:val="001829B9"/>
    <w:rsid w:val="001831E5"/>
    <w:rsid w:val="001939BA"/>
    <w:rsid w:val="001A54B1"/>
    <w:rsid w:val="001A6EB0"/>
    <w:rsid w:val="001B2FEE"/>
    <w:rsid w:val="001B441D"/>
    <w:rsid w:val="001C5225"/>
    <w:rsid w:val="001E0219"/>
    <w:rsid w:val="001E5028"/>
    <w:rsid w:val="001E6947"/>
    <w:rsid w:val="00210369"/>
    <w:rsid w:val="00213BE7"/>
    <w:rsid w:val="00231A1D"/>
    <w:rsid w:val="00244120"/>
    <w:rsid w:val="00291EA5"/>
    <w:rsid w:val="00293F9F"/>
    <w:rsid w:val="002A110D"/>
    <w:rsid w:val="002A2389"/>
    <w:rsid w:val="002B45FC"/>
    <w:rsid w:val="002C08E2"/>
    <w:rsid w:val="002C1794"/>
    <w:rsid w:val="002C5F25"/>
    <w:rsid w:val="002D2FC5"/>
    <w:rsid w:val="002E6637"/>
    <w:rsid w:val="002E77E3"/>
    <w:rsid w:val="002F0CA6"/>
    <w:rsid w:val="002F3B7C"/>
    <w:rsid w:val="0030142A"/>
    <w:rsid w:val="00307764"/>
    <w:rsid w:val="00310C8E"/>
    <w:rsid w:val="003134CF"/>
    <w:rsid w:val="00330EF4"/>
    <w:rsid w:val="00331695"/>
    <w:rsid w:val="0033219E"/>
    <w:rsid w:val="00332947"/>
    <w:rsid w:val="00333EB4"/>
    <w:rsid w:val="00345915"/>
    <w:rsid w:val="00361A5F"/>
    <w:rsid w:val="003643AD"/>
    <w:rsid w:val="00365D29"/>
    <w:rsid w:val="00374F22"/>
    <w:rsid w:val="00381D5E"/>
    <w:rsid w:val="003900A3"/>
    <w:rsid w:val="003D2FFE"/>
    <w:rsid w:val="003E6CB1"/>
    <w:rsid w:val="00400032"/>
    <w:rsid w:val="004226E6"/>
    <w:rsid w:val="0042394B"/>
    <w:rsid w:val="00441969"/>
    <w:rsid w:val="00473B08"/>
    <w:rsid w:val="00474B57"/>
    <w:rsid w:val="00474B5F"/>
    <w:rsid w:val="00482A47"/>
    <w:rsid w:val="0049306F"/>
    <w:rsid w:val="004A3CE6"/>
    <w:rsid w:val="004A4A1D"/>
    <w:rsid w:val="004B2C9D"/>
    <w:rsid w:val="004B4A47"/>
    <w:rsid w:val="004D4B15"/>
    <w:rsid w:val="004E667D"/>
    <w:rsid w:val="004E6AF9"/>
    <w:rsid w:val="004F5E69"/>
    <w:rsid w:val="0050063A"/>
    <w:rsid w:val="005031DF"/>
    <w:rsid w:val="00503694"/>
    <w:rsid w:val="00537B19"/>
    <w:rsid w:val="005666A3"/>
    <w:rsid w:val="00570F59"/>
    <w:rsid w:val="00580AEA"/>
    <w:rsid w:val="00583D1F"/>
    <w:rsid w:val="00597314"/>
    <w:rsid w:val="005A61AF"/>
    <w:rsid w:val="005B4C1E"/>
    <w:rsid w:val="005C627B"/>
    <w:rsid w:val="005D0886"/>
    <w:rsid w:val="005D2FBB"/>
    <w:rsid w:val="005D6FA3"/>
    <w:rsid w:val="005E384D"/>
    <w:rsid w:val="005E462F"/>
    <w:rsid w:val="005F2181"/>
    <w:rsid w:val="005F54E5"/>
    <w:rsid w:val="005F58CA"/>
    <w:rsid w:val="005F724B"/>
    <w:rsid w:val="005F7BF5"/>
    <w:rsid w:val="00625DFF"/>
    <w:rsid w:val="0063072B"/>
    <w:rsid w:val="00662891"/>
    <w:rsid w:val="006628B7"/>
    <w:rsid w:val="00662C52"/>
    <w:rsid w:val="00675FCB"/>
    <w:rsid w:val="00693E19"/>
    <w:rsid w:val="006A0B87"/>
    <w:rsid w:val="006A4C74"/>
    <w:rsid w:val="006B262F"/>
    <w:rsid w:val="006B3942"/>
    <w:rsid w:val="006B7249"/>
    <w:rsid w:val="006C3914"/>
    <w:rsid w:val="006D3648"/>
    <w:rsid w:val="006D5D6E"/>
    <w:rsid w:val="0070168A"/>
    <w:rsid w:val="007401D8"/>
    <w:rsid w:val="007417DE"/>
    <w:rsid w:val="0074184E"/>
    <w:rsid w:val="00743829"/>
    <w:rsid w:val="007453A3"/>
    <w:rsid w:val="007544F9"/>
    <w:rsid w:val="00755F8D"/>
    <w:rsid w:val="0078692D"/>
    <w:rsid w:val="00796503"/>
    <w:rsid w:val="007A0718"/>
    <w:rsid w:val="007A1F98"/>
    <w:rsid w:val="007C1F10"/>
    <w:rsid w:val="007C7D47"/>
    <w:rsid w:val="007D2BDA"/>
    <w:rsid w:val="007D56C8"/>
    <w:rsid w:val="007E1EDC"/>
    <w:rsid w:val="007E3934"/>
    <w:rsid w:val="007E7303"/>
    <w:rsid w:val="007E7EB1"/>
    <w:rsid w:val="0081072D"/>
    <w:rsid w:val="008212A0"/>
    <w:rsid w:val="00837F53"/>
    <w:rsid w:val="00851434"/>
    <w:rsid w:val="00853431"/>
    <w:rsid w:val="008835FD"/>
    <w:rsid w:val="008919B2"/>
    <w:rsid w:val="00892484"/>
    <w:rsid w:val="008B5ADB"/>
    <w:rsid w:val="008C2DB9"/>
    <w:rsid w:val="008D1750"/>
    <w:rsid w:val="008D7800"/>
    <w:rsid w:val="008E2910"/>
    <w:rsid w:val="008E4913"/>
    <w:rsid w:val="008F26AD"/>
    <w:rsid w:val="00900464"/>
    <w:rsid w:val="0090100E"/>
    <w:rsid w:val="00912904"/>
    <w:rsid w:val="00921E6C"/>
    <w:rsid w:val="009354A6"/>
    <w:rsid w:val="0093767E"/>
    <w:rsid w:val="00937F5F"/>
    <w:rsid w:val="0094077A"/>
    <w:rsid w:val="00955466"/>
    <w:rsid w:val="00966918"/>
    <w:rsid w:val="00972A02"/>
    <w:rsid w:val="009920BD"/>
    <w:rsid w:val="0099517C"/>
    <w:rsid w:val="009A0937"/>
    <w:rsid w:val="009A38E8"/>
    <w:rsid w:val="009B2ECD"/>
    <w:rsid w:val="009B36A6"/>
    <w:rsid w:val="009B6A28"/>
    <w:rsid w:val="009B7914"/>
    <w:rsid w:val="009D1705"/>
    <w:rsid w:val="009F1846"/>
    <w:rsid w:val="009F430B"/>
    <w:rsid w:val="00A062C2"/>
    <w:rsid w:val="00A06592"/>
    <w:rsid w:val="00A160B2"/>
    <w:rsid w:val="00A420E4"/>
    <w:rsid w:val="00A566E7"/>
    <w:rsid w:val="00A633E6"/>
    <w:rsid w:val="00A940D3"/>
    <w:rsid w:val="00A96FCA"/>
    <w:rsid w:val="00AA4BE8"/>
    <w:rsid w:val="00AB2523"/>
    <w:rsid w:val="00AB2FCE"/>
    <w:rsid w:val="00AC0AAB"/>
    <w:rsid w:val="00AC658A"/>
    <w:rsid w:val="00AC7BA9"/>
    <w:rsid w:val="00AE72E5"/>
    <w:rsid w:val="00B0425E"/>
    <w:rsid w:val="00B43DFD"/>
    <w:rsid w:val="00B442E9"/>
    <w:rsid w:val="00B4460B"/>
    <w:rsid w:val="00B56185"/>
    <w:rsid w:val="00B8301F"/>
    <w:rsid w:val="00B900E2"/>
    <w:rsid w:val="00B9118E"/>
    <w:rsid w:val="00B93D00"/>
    <w:rsid w:val="00BA35EA"/>
    <w:rsid w:val="00BB52DF"/>
    <w:rsid w:val="00BC7290"/>
    <w:rsid w:val="00BD6115"/>
    <w:rsid w:val="00BD684A"/>
    <w:rsid w:val="00C10AA2"/>
    <w:rsid w:val="00C12A97"/>
    <w:rsid w:val="00C17EF4"/>
    <w:rsid w:val="00C304CA"/>
    <w:rsid w:val="00C32DAE"/>
    <w:rsid w:val="00C40E24"/>
    <w:rsid w:val="00C50D60"/>
    <w:rsid w:val="00C56A5F"/>
    <w:rsid w:val="00C61B80"/>
    <w:rsid w:val="00C92D9A"/>
    <w:rsid w:val="00C962F1"/>
    <w:rsid w:val="00C96EF5"/>
    <w:rsid w:val="00CB38E7"/>
    <w:rsid w:val="00CD040F"/>
    <w:rsid w:val="00D13ACD"/>
    <w:rsid w:val="00D25064"/>
    <w:rsid w:val="00D32B51"/>
    <w:rsid w:val="00D34668"/>
    <w:rsid w:val="00D36362"/>
    <w:rsid w:val="00D3740E"/>
    <w:rsid w:val="00D40335"/>
    <w:rsid w:val="00D428ED"/>
    <w:rsid w:val="00D57A71"/>
    <w:rsid w:val="00D67F95"/>
    <w:rsid w:val="00D82F57"/>
    <w:rsid w:val="00D841A5"/>
    <w:rsid w:val="00D8699C"/>
    <w:rsid w:val="00D914D2"/>
    <w:rsid w:val="00D94712"/>
    <w:rsid w:val="00D94C78"/>
    <w:rsid w:val="00DA25DB"/>
    <w:rsid w:val="00DB0791"/>
    <w:rsid w:val="00DD4251"/>
    <w:rsid w:val="00E02B50"/>
    <w:rsid w:val="00E03F11"/>
    <w:rsid w:val="00E04757"/>
    <w:rsid w:val="00E06DC8"/>
    <w:rsid w:val="00E14116"/>
    <w:rsid w:val="00E220B5"/>
    <w:rsid w:val="00E33D93"/>
    <w:rsid w:val="00E609EF"/>
    <w:rsid w:val="00E66730"/>
    <w:rsid w:val="00E822D1"/>
    <w:rsid w:val="00E8515B"/>
    <w:rsid w:val="00E90AFF"/>
    <w:rsid w:val="00ED3654"/>
    <w:rsid w:val="00EF2F91"/>
    <w:rsid w:val="00EF70E1"/>
    <w:rsid w:val="00F025D7"/>
    <w:rsid w:val="00F21F5D"/>
    <w:rsid w:val="00F3379E"/>
    <w:rsid w:val="00F33EE3"/>
    <w:rsid w:val="00F4213B"/>
    <w:rsid w:val="00F6495F"/>
    <w:rsid w:val="00F74503"/>
    <w:rsid w:val="00F849ED"/>
    <w:rsid w:val="00F85728"/>
    <w:rsid w:val="00F92398"/>
    <w:rsid w:val="00FC3713"/>
    <w:rsid w:val="00FD31A0"/>
    <w:rsid w:val="00FE5A4C"/>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table" w:styleId="TableGrid">
    <w:name w:val="Table Grid"/>
    <w:basedOn w:val="TableNormal"/>
    <w:uiPriority w:val="39"/>
    <w:rsid w:val="008C2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814">
      <w:bodyDiv w:val="1"/>
      <w:marLeft w:val="0"/>
      <w:marRight w:val="0"/>
      <w:marTop w:val="0"/>
      <w:marBottom w:val="0"/>
      <w:divBdr>
        <w:top w:val="none" w:sz="0" w:space="0" w:color="auto"/>
        <w:left w:val="none" w:sz="0" w:space="0" w:color="auto"/>
        <w:bottom w:val="none" w:sz="0" w:space="0" w:color="auto"/>
        <w:right w:val="none" w:sz="0" w:space="0" w:color="auto"/>
      </w:divBdr>
    </w:div>
    <w:div w:id="1407067303">
      <w:bodyDiv w:val="1"/>
      <w:marLeft w:val="0"/>
      <w:marRight w:val="0"/>
      <w:marTop w:val="0"/>
      <w:marBottom w:val="0"/>
      <w:divBdr>
        <w:top w:val="none" w:sz="0" w:space="0" w:color="auto"/>
        <w:left w:val="none" w:sz="0" w:space="0" w:color="auto"/>
        <w:bottom w:val="none" w:sz="0" w:space="0" w:color="auto"/>
        <w:right w:val="none" w:sz="0" w:space="0" w:color="auto"/>
      </w:divBdr>
    </w:div>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1232</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7815</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3</cp:revision>
  <cp:lastPrinted>2007-07-12T09:53:00Z</cp:lastPrinted>
  <dcterms:created xsi:type="dcterms:W3CDTF">2022-11-29T14:35:00Z</dcterms:created>
  <dcterms:modified xsi:type="dcterms:W3CDTF">2022-11-30T15:11:00Z</dcterms:modified>
</cp:coreProperties>
</file>